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jc w:val="both"/>
        <w:rPr>
          <w:rFonts w:eastAsia="宋体" w:cs="Arial"/>
          <w:bCs/>
          <w:sz w:val="22"/>
          <w:szCs w:val="22"/>
          <w:lang w:eastAsia="zh-CN"/>
        </w:rPr>
      </w:pPr>
      <w:bookmarkStart w:id="0" w:name="OLE_LINK24"/>
      <w:bookmarkStart w:id="1" w:name="OLE_LINK25"/>
      <w:r>
        <w:rPr>
          <w:rFonts w:eastAsia="宋体" w:cs="Arial"/>
          <w:bCs/>
          <w:sz w:val="22"/>
          <w:szCs w:val="22"/>
          <w:lang w:eastAsia="zh-CN"/>
        </w:rPr>
        <w:t xml:space="preserve">3GPP TSG-RAN WG2 Meeting #116bis electronic             </w:t>
      </w:r>
      <w:r>
        <w:rPr>
          <w:rFonts w:eastAsia="宋体" w:cs="Arial"/>
          <w:bCs/>
          <w:sz w:val="22"/>
          <w:szCs w:val="22"/>
          <w:lang w:eastAsia="zh-CN"/>
        </w:rPr>
        <w:tab/>
      </w:r>
      <w:r>
        <w:rPr>
          <w:rFonts w:eastAsia="宋体" w:cs="Arial"/>
          <w:bCs/>
          <w:sz w:val="22"/>
          <w:szCs w:val="22"/>
          <w:lang w:eastAsia="zh-CN"/>
        </w:rPr>
        <w:t>R2-2200475</w:t>
      </w:r>
    </w:p>
    <w:bookmarkEnd w:id="0"/>
    <w:bookmarkEnd w:id="1"/>
    <w:p>
      <w:pPr>
        <w:pStyle w:val="24"/>
        <w:jc w:val="both"/>
        <w:rPr>
          <w:rFonts w:eastAsia="宋体" w:cs="Arial"/>
          <w:bCs/>
          <w:sz w:val="22"/>
          <w:szCs w:val="22"/>
          <w:lang w:eastAsia="zh-CN"/>
        </w:rPr>
      </w:pPr>
      <w:r>
        <w:rPr>
          <w:rFonts w:eastAsia="宋体" w:cs="Arial"/>
          <w:bCs/>
          <w:sz w:val="22"/>
          <w:szCs w:val="22"/>
          <w:lang w:eastAsia="zh-CN"/>
        </w:rPr>
        <w:t>E-Meeting, 17</w:t>
      </w:r>
      <w:r>
        <w:rPr>
          <w:rFonts w:eastAsia="宋体" w:cs="Arial"/>
          <w:bCs/>
          <w:sz w:val="22"/>
          <w:szCs w:val="22"/>
          <w:vertAlign w:val="superscript"/>
          <w:lang w:eastAsia="zh-CN"/>
        </w:rPr>
        <w:t>th</w:t>
      </w:r>
      <w:r>
        <w:rPr>
          <w:rFonts w:eastAsia="宋体" w:cs="Arial"/>
          <w:bCs/>
          <w:sz w:val="22"/>
          <w:szCs w:val="22"/>
          <w:lang w:eastAsia="zh-CN"/>
        </w:rPr>
        <w:t xml:space="preserve"> – 25</w:t>
      </w:r>
      <w:r>
        <w:rPr>
          <w:rFonts w:eastAsia="宋体" w:cs="Arial"/>
          <w:bCs/>
          <w:sz w:val="22"/>
          <w:szCs w:val="22"/>
          <w:vertAlign w:val="superscript"/>
          <w:lang w:eastAsia="zh-CN"/>
        </w:rPr>
        <w:t>th</w:t>
      </w:r>
      <w:r>
        <w:rPr>
          <w:rFonts w:eastAsia="宋体" w:cs="Arial"/>
          <w:bCs/>
          <w:sz w:val="22"/>
          <w:szCs w:val="22"/>
          <w:lang w:eastAsia="zh-CN"/>
        </w:rPr>
        <w:t xml:space="preserve"> January 2022                                       </w:t>
      </w:r>
    </w:p>
    <w:p>
      <w:pPr>
        <w:pStyle w:val="24"/>
        <w:jc w:val="both"/>
        <w:rPr>
          <w:rFonts w:eastAsia="宋体" w:cs="Arial"/>
          <w:bCs/>
          <w:sz w:val="22"/>
          <w:szCs w:val="22"/>
          <w:lang w:val="en-GB" w:eastAsia="zh-CN"/>
        </w:rPr>
      </w:pPr>
    </w:p>
    <w:p>
      <w:pPr>
        <w:pStyle w:val="24"/>
        <w:tabs>
          <w:tab w:val="left" w:pos="1800"/>
          <w:tab w:val="clear" w:pos="4536"/>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pPr>
        <w:pStyle w:val="24"/>
        <w:tabs>
          <w:tab w:val="left" w:pos="1800"/>
          <w:tab w:val="clear" w:pos="4536"/>
        </w:tabs>
        <w:ind w:left="1791" w:hanging="1792" w:hangingChars="814"/>
        <w:jc w:val="both"/>
        <w:rPr>
          <w:rFonts w:cs="Arial"/>
          <w:sz w:val="22"/>
          <w:szCs w:val="22"/>
        </w:rPr>
      </w:pPr>
      <w:r>
        <w:rPr>
          <w:rFonts w:cs="Arial"/>
          <w:sz w:val="22"/>
          <w:szCs w:val="22"/>
        </w:rPr>
        <w:t>Title:</w:t>
      </w:r>
      <w:bookmarkStart w:id="2" w:name="Title"/>
      <w:bookmarkEnd w:id="2"/>
      <w:r>
        <w:rPr>
          <w:rFonts w:cs="Arial"/>
          <w:sz w:val="22"/>
          <w:szCs w:val="22"/>
        </w:rPr>
        <w:tab/>
      </w:r>
      <w:r>
        <w:rPr>
          <w:rFonts w:cs="Arial"/>
          <w:sz w:val="22"/>
          <w:szCs w:val="22"/>
        </w:rPr>
        <w:t>Remaining Issues of Discovery Message Transmission</w:t>
      </w:r>
    </w:p>
    <w:p>
      <w:pPr>
        <w:pStyle w:val="24"/>
        <w:tabs>
          <w:tab w:val="left" w:pos="1800"/>
          <w:tab w:val="clear" w:pos="4536"/>
        </w:tabs>
        <w:ind w:left="1791" w:hanging="1792" w:hangingChars="814"/>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8.7.3</w:t>
      </w:r>
      <w:r>
        <w:rPr>
          <w:rFonts w:hint="eastAsia" w:eastAsia="宋体" w:cs="Arial"/>
          <w:sz w:val="22"/>
          <w:szCs w:val="22"/>
          <w:lang w:eastAsia="zh-CN"/>
        </w:rPr>
        <w:t>.</w:t>
      </w:r>
      <w:r>
        <w:rPr>
          <w:rFonts w:eastAsia="宋体" w:cs="Arial"/>
          <w:sz w:val="22"/>
          <w:szCs w:val="22"/>
          <w:lang w:eastAsia="zh-CN"/>
        </w:rPr>
        <w:t>1</w:t>
      </w:r>
    </w:p>
    <w:p>
      <w:pPr>
        <w:pStyle w:val="24"/>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Pr>
          <w:rFonts w:cs="Times New Roman"/>
          <w:b w:val="0"/>
          <w:bCs w:val="0"/>
          <w:kern w:val="0"/>
          <w:sz w:val="36"/>
          <w:szCs w:val="20"/>
          <w:lang w:eastAsia="en-GB"/>
        </w:rPr>
        <w:t>Introduction</w:t>
      </w:r>
    </w:p>
    <w:p>
      <w:pPr>
        <w:jc w:val="both"/>
        <w:rPr>
          <w:rFonts w:eastAsiaTheme="minorEastAsia"/>
          <w:lang w:eastAsia="zh-CN"/>
        </w:rPr>
      </w:pPr>
      <w:r>
        <w:rPr>
          <w:rFonts w:eastAsiaTheme="minorEastAsia"/>
          <w:lang w:eastAsia="zh-CN"/>
        </w:rPr>
        <w:t xml:space="preserve">In RAN2 #116e meeting, many aspects regarding discovery message transmission were concluded </w:t>
      </w:r>
      <w:r>
        <w:rPr>
          <w:rFonts w:eastAsiaTheme="minorEastAsia"/>
          <w:lang w:eastAsia="zh-CN"/>
        </w:rPr>
        <w:fldChar w:fldCharType="begin"/>
      </w:r>
      <w:r>
        <w:rPr>
          <w:rFonts w:eastAsiaTheme="minorEastAsia"/>
          <w:lang w:eastAsia="zh-CN"/>
        </w:rPr>
        <w:instrText xml:space="preserve"> REF _Ref78984953 \r \h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The agreements with respect to remaining open issues are copied below for reference:</w:t>
      </w:r>
    </w:p>
    <w:p>
      <w:pPr>
        <w:pStyle w:val="68"/>
        <w:pBdr>
          <w:top w:val="single" w:color="auto" w:sz="4" w:space="1"/>
          <w:left w:val="single" w:color="auto" w:sz="4" w:space="4"/>
          <w:bottom w:val="single" w:color="auto" w:sz="4" w:space="1"/>
          <w:right w:val="single" w:color="auto" w:sz="4" w:space="4"/>
        </w:pBdr>
        <w:ind w:left="621" w:leftChars="129"/>
      </w:pPr>
      <w:r>
        <w:t>Agreements</w:t>
      </w:r>
    </w:p>
    <w:p>
      <w:pPr>
        <w:pStyle w:val="68"/>
        <w:pBdr>
          <w:top w:val="single" w:color="auto" w:sz="4" w:space="1"/>
          <w:left w:val="single" w:color="auto" w:sz="4" w:space="4"/>
          <w:bottom w:val="single" w:color="auto" w:sz="4" w:space="1"/>
          <w:right w:val="single" w:color="auto" w:sz="4" w:space="4"/>
        </w:pBdr>
        <w:ind w:left="621" w:leftChars="129"/>
      </w:pPr>
      <w:r>
        <w:t xml:space="preserve">[Easy] Proposal 3 (19/20): For relay discovery, dedicated pools can be configured simultaneously with TX shared pool in SIB/RRC/Pre-configuration. </w:t>
      </w:r>
    </w:p>
    <w:p>
      <w:pPr>
        <w:pStyle w:val="68"/>
        <w:pBdr>
          <w:top w:val="single" w:color="auto" w:sz="4" w:space="1"/>
          <w:left w:val="single" w:color="auto" w:sz="4" w:space="4"/>
          <w:bottom w:val="single" w:color="auto" w:sz="4" w:space="1"/>
          <w:right w:val="single" w:color="auto" w:sz="4" w:space="4"/>
        </w:pBdr>
        <w:ind w:left="621" w:leftChars="129"/>
      </w:pPr>
      <w:r>
        <w:t xml:space="preserve">As baseline, TX shared pool can only be used for SL communication in case dedicated and shared pools are configured simultaneously.  </w:t>
      </w:r>
      <w:r>
        <w:rPr>
          <w:highlight w:val="yellow"/>
        </w:rPr>
        <w:t>FFS if network can also configure a setting where both shared and dedicated pools can be used for SL discovery.</w:t>
      </w:r>
    </w:p>
    <w:p>
      <w:pPr>
        <w:jc w:val="both"/>
        <w:rPr>
          <w:rFonts w:eastAsiaTheme="minorEastAsia"/>
          <w:szCs w:val="20"/>
          <w:lang w:val="en-GB"/>
        </w:rPr>
      </w:pPr>
      <w:r>
        <w:rPr>
          <w:rFonts w:eastAsiaTheme="minorEastAsia"/>
          <w:szCs w:val="20"/>
          <w:lang w:val="en-GB" w:eastAsia="zh-CN"/>
        </w:rPr>
        <w:t>According the above agreements, the baseline is that the shared resource pool should only be used for SL communication message transmission in case dedicated resource pool is configured, and whether there are some other conditions to allow selection between dedicated resource pool and shared resource pool for discovery message transmission is to be further discussed. In addition, BSR report issue for discovery message, how CBR would affect the discovery message, and how RAN sharing impact the discovery message design with respect to L2 SL relay, are not settled yet. This paper will share our views on these issues.</w:t>
      </w:r>
    </w:p>
    <w:p>
      <w:pPr>
        <w:pStyle w:val="2"/>
        <w:keepLines/>
        <w:numPr>
          <w:ilvl w:val="0"/>
          <w:numId w:val="3"/>
        </w:numPr>
        <w:pBdr>
          <w:top w:val="single" w:color="auto" w:sz="12" w:space="3"/>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Discussion</w:t>
      </w:r>
    </w:p>
    <w:p>
      <w:pPr>
        <w:pStyle w:val="4"/>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Selection of dedicated pool and shared pool</w:t>
      </w:r>
    </w:p>
    <w:p>
      <w:pPr>
        <w:pStyle w:val="3"/>
        <w:rPr>
          <w:rFonts w:eastAsiaTheme="minorEastAsia"/>
          <w:lang w:eastAsia="zh-CN"/>
        </w:rPr>
      </w:pPr>
      <w:r>
        <w:rPr>
          <w:rFonts w:eastAsiaTheme="minorEastAsia"/>
          <w:lang w:eastAsia="zh-CN"/>
        </w:rPr>
        <w:t>According to the progress, the following two issues needs to be further discussed:</w:t>
      </w:r>
    </w:p>
    <w:p>
      <w:pPr>
        <w:pStyle w:val="3"/>
        <w:numPr>
          <w:ilvl w:val="0"/>
          <w:numId w:val="4"/>
        </w:numPr>
        <w:rPr>
          <w:rFonts w:eastAsiaTheme="minorEastAsia"/>
          <w:b/>
          <w:u w:val="single"/>
          <w:lang w:eastAsia="zh-CN"/>
        </w:rPr>
      </w:pPr>
      <w:r>
        <w:rPr>
          <w:rFonts w:eastAsiaTheme="minorEastAsia"/>
          <w:b/>
          <w:u w:val="single"/>
          <w:lang w:eastAsia="zh-CN"/>
        </w:rPr>
        <w:t>Whether data can be transmitted in dedicated resource pool for discovery?</w:t>
      </w:r>
    </w:p>
    <w:p>
      <w:pPr>
        <w:pStyle w:val="3"/>
        <w:rPr>
          <w:rFonts w:eastAsiaTheme="minorEastAsia"/>
          <w:lang w:eastAsia="zh-CN"/>
        </w:rPr>
      </w:pPr>
      <w:r>
        <w:rPr>
          <w:rFonts w:eastAsiaTheme="minorEastAsia"/>
          <w:lang w:eastAsia="zh-CN"/>
        </w:rPr>
        <w:t>As the dedicated pool is for discovery, it is not clear whether data can be transmitted there, especially when only dedicated pool for discovery is configured. Logically, if we allow data to be transmitted in the dedicated resource pool for discovery, it is actually regarded as a shared pool. In other word, the network can just configure a pool as a shared pool to allow data transmission in it. Therefore, we propose that data is not allowed to be transmitted in a dedicated resource pool for discovery, and this only applies to the case that a UE is configured with only dedicated resource pool for discovery, meaning no data transmission/reception can be performed by the UE in this case. Therefore,</w:t>
      </w:r>
    </w:p>
    <w:p>
      <w:pPr>
        <w:pStyle w:val="14"/>
        <w:jc w:val="both"/>
        <w:rPr>
          <w:rFonts w:eastAsiaTheme="minorEastAsia"/>
          <w:lang w:eastAsia="zh-CN"/>
        </w:rPr>
      </w:pPr>
      <w:bookmarkStart w:id="7" w:name="_Ref79003422"/>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xml:space="preserve">: RAN2 confirms that data is not allowed to be </w:t>
      </w:r>
      <w:r>
        <w:rPr>
          <w:rFonts w:eastAsiaTheme="minorEastAsia"/>
          <w:b/>
          <w:lang w:eastAsia="zh-CN"/>
        </w:rPr>
        <w:t>transmitted in dedicated resource pool for discovery.</w:t>
      </w:r>
      <w:bookmarkEnd w:id="7"/>
    </w:p>
    <w:p>
      <w:pPr>
        <w:pStyle w:val="3"/>
        <w:numPr>
          <w:ilvl w:val="0"/>
          <w:numId w:val="4"/>
        </w:numPr>
        <w:rPr>
          <w:rFonts w:eastAsiaTheme="minorEastAsia"/>
          <w:b/>
          <w:u w:val="single"/>
          <w:lang w:eastAsia="zh-CN"/>
        </w:rPr>
      </w:pPr>
      <w:r>
        <w:rPr>
          <w:rFonts w:eastAsiaTheme="minorEastAsia"/>
          <w:b/>
          <w:u w:val="single"/>
          <w:lang w:eastAsia="zh-CN"/>
        </w:rPr>
        <w:t>Whether TX shared resource pool can be used for discovery message transmissions for Mode 2?</w:t>
      </w:r>
    </w:p>
    <w:p>
      <w:pPr>
        <w:jc w:val="both"/>
        <w:rPr>
          <w:rFonts w:eastAsiaTheme="minorEastAsia"/>
          <w:lang w:eastAsia="zh-CN"/>
        </w:rPr>
      </w:pPr>
      <w:r>
        <w:rPr>
          <w:rFonts w:eastAsiaTheme="minorEastAsia"/>
          <w:lang w:val="en-GB" w:eastAsia="zh-CN"/>
        </w:rPr>
        <w:t xml:space="preserve">The resource pool selection for discovery message transmission not only impacts the discovery message monitoring behaviour, but also impacts the SD-RSRP measurement. When both dedicated resource pool and shared resource pool are configured and a UE is allowed to select one to be used for discovery message in Mode 2, any intended UE for discovery message monitoring has to monitor both dedicated resource pool and shared resource pool for discovery. In this case, when the intended UE needs to measure SD-RSRP, its physical layer itself cannot identify the discovery message by itself and has to rely on indication from upper layer to identify the desired measurement results for SD-RSRP evaluation. In such way, the expected benefit from dedicated resource pool, i.e., both power consumption for discovery message monitoring and complexity reduction for SD-RSRP measurement, diminishes. </w:t>
      </w:r>
    </w:p>
    <w:p>
      <w:pPr>
        <w:jc w:val="both"/>
        <w:rPr>
          <w:rFonts w:eastAsiaTheme="minorEastAsia"/>
          <w:lang w:eastAsia="zh-CN"/>
        </w:rPr>
      </w:pPr>
      <w:r>
        <w:rPr>
          <w:rFonts w:eastAsiaTheme="minorEastAsia"/>
          <w:lang w:val="en-GB" w:eastAsia="zh-CN"/>
        </w:rPr>
        <w:t xml:space="preserve">One could expect better discovery message transmission performance to allow a UE to select TX shared resource pool for discovery message transmission when both resource pools are configured simultaneously while dedicated resource pool is congested. However, considering the common sense that the discovery message transmission reliability should be usually better than data, the reasonable assumption should be that the dedicated resource pool size should be properly configured so that the resource utilization level the dedicated resource pool can be expected to be clearly lower than that of the shared resource pool to minimize the congestion risk for discovery message transmission.  </w:t>
      </w:r>
    </w:p>
    <w:p>
      <w:pPr>
        <w:pStyle w:val="14"/>
        <w:jc w:val="both"/>
        <w:rPr>
          <w:b/>
        </w:rPr>
      </w:pPr>
      <w:bookmarkStart w:id="8" w:name="_Ref92804805"/>
      <w:r>
        <w:rPr>
          <w:b/>
        </w:rPr>
        <w:t xml:space="preserve">Observation </w:t>
      </w:r>
      <w:r>
        <w:rPr>
          <w:b/>
        </w:rPr>
        <w:fldChar w:fldCharType="begin"/>
      </w:r>
      <w:r>
        <w:rPr>
          <w:b/>
        </w:rPr>
        <w:instrText xml:space="preserve"> SEQ Observation \* ARABIC </w:instrText>
      </w:r>
      <w:r>
        <w:rPr>
          <w:b/>
        </w:rPr>
        <w:fldChar w:fldCharType="separate"/>
      </w:r>
      <w:r>
        <w:rPr>
          <w:b/>
        </w:rPr>
        <w:t>1</w:t>
      </w:r>
      <w:r>
        <w:rPr>
          <w:b/>
        </w:rPr>
        <w:fldChar w:fldCharType="end"/>
      </w:r>
      <w:r>
        <w:rPr>
          <w:b/>
        </w:rPr>
        <w:t>: The reasonable assumption should be that the dedicated resource pool for discovery is less possible to be congested compared to shared resource pool for communication data transmission, with proper configurations from the network.</w:t>
      </w:r>
      <w:bookmarkEnd w:id="8"/>
    </w:p>
    <w:p>
      <w:pPr>
        <w:pStyle w:val="14"/>
        <w:jc w:val="both"/>
        <w:rPr>
          <w:b/>
        </w:rPr>
      </w:pPr>
      <w:bookmarkStart w:id="9" w:name="_Ref92804806"/>
      <w:r>
        <w:rPr>
          <w:b/>
        </w:rPr>
        <w:t xml:space="preserve">Observation </w:t>
      </w:r>
      <w:r>
        <w:rPr>
          <w:b/>
        </w:rPr>
        <w:fldChar w:fldCharType="begin"/>
      </w:r>
      <w:r>
        <w:rPr>
          <w:b/>
        </w:rPr>
        <w:instrText xml:space="preserve"> SEQ Observation \* ARABIC </w:instrText>
      </w:r>
      <w:r>
        <w:rPr>
          <w:b/>
        </w:rPr>
        <w:fldChar w:fldCharType="separate"/>
      </w:r>
      <w:r>
        <w:rPr>
          <w:b/>
        </w:rPr>
        <w:t>2</w:t>
      </w:r>
      <w:r>
        <w:rPr>
          <w:b/>
        </w:rPr>
        <w:fldChar w:fldCharType="end"/>
      </w:r>
      <w:r>
        <w:rPr>
          <w:b/>
        </w:rPr>
        <w:t>: If dedicated resource pool is congested due to the high load of discovery message transmission, the TX shared resource pool should be probably of even higher congestion level.</w:t>
      </w:r>
      <w:bookmarkEnd w:id="9"/>
    </w:p>
    <w:p>
      <w:pPr>
        <w:jc w:val="both"/>
        <w:rPr>
          <w:rFonts w:eastAsiaTheme="minorEastAsia"/>
        </w:rPr>
      </w:pPr>
      <w:r>
        <w:rPr>
          <w:rFonts w:eastAsiaTheme="minorEastAsia"/>
          <w:lang w:val="en-GB"/>
        </w:rPr>
        <w:t xml:space="preserve">Based on the above discussion and observations, there is no convincing benefit to allow conditional selection between dedicated resource pool and shared resource pool when both resource pools are configured. </w:t>
      </w:r>
    </w:p>
    <w:p>
      <w:pPr>
        <w:pStyle w:val="14"/>
        <w:jc w:val="both"/>
        <w:rPr>
          <w:b/>
        </w:rPr>
      </w:pPr>
      <w:bookmarkStart w:id="10" w:name="_Ref92804817"/>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For mode 2, when both dedicated resource pool and shared resource pool are configured simultaneously, only dedicated resource pool is used for discovery message transmission, i.e. conditional selection between dedicated resource pool and shared resource pool is not supported.</w:t>
      </w:r>
      <w:bookmarkEnd w:id="10"/>
    </w:p>
    <w:p>
      <w:pPr>
        <w:jc w:val="both"/>
        <w:rPr>
          <w:rFonts w:eastAsiaTheme="minorEastAsia"/>
          <w:lang w:eastAsia="zh-CN"/>
        </w:rPr>
      </w:pPr>
      <w:r>
        <w:rPr>
          <w:rFonts w:hint="eastAsia" w:eastAsiaTheme="minorEastAsia"/>
          <w:lang w:val="en-GB" w:eastAsia="zh-CN"/>
        </w:rPr>
        <w:t>G</w:t>
      </w:r>
      <w:r>
        <w:rPr>
          <w:rFonts w:eastAsiaTheme="minorEastAsia"/>
          <w:lang w:val="en-GB" w:eastAsia="zh-CN"/>
        </w:rPr>
        <w:t>iven Proposal 2 above is not agreeable, it is not necessary to discuss the detail rules with respect to the resource pool selection for discovery message transmission:</w:t>
      </w:r>
    </w:p>
    <w:p>
      <w:pPr>
        <w:pStyle w:val="14"/>
        <w:jc w:val="both"/>
        <w:rPr>
          <w:rFonts w:eastAsiaTheme="minorEastAsia"/>
          <w:lang w:eastAsia="zh-CN"/>
        </w:rPr>
      </w:pPr>
      <w:bookmarkStart w:id="11" w:name="_Ref92804818"/>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w:t>
      </w:r>
      <w:r>
        <w:rPr>
          <w:rFonts w:cs="Arial"/>
          <w:b/>
        </w:rPr>
        <w:t xml:space="preserve"> If Proposal 2 is not agreeable, it should be left up to UE implementation on whether the discovery message is transmitted in dedicated resource pool or shared resource pool.</w:t>
      </w:r>
      <w:bookmarkEnd w:id="11"/>
    </w:p>
    <w:p>
      <w:pPr>
        <w:pStyle w:val="4"/>
        <w:keepLines/>
        <w:numPr>
          <w:ilvl w:val="1"/>
          <w:numId w:val="3"/>
        </w:numPr>
        <w:overflowPunct w:val="0"/>
        <w:autoSpaceDE w:val="0"/>
        <w:autoSpaceDN w:val="0"/>
        <w:adjustRightInd w:val="0"/>
        <w:spacing w:before="180" w:after="180"/>
        <w:textAlignment w:val="baseline"/>
        <w:rPr>
          <w:b w:val="0"/>
          <w:sz w:val="32"/>
        </w:rPr>
      </w:pPr>
      <w:r>
        <w:rPr>
          <w:b w:val="0"/>
          <w:sz w:val="32"/>
        </w:rPr>
        <w:t>Distinction between discovery and communication message</w:t>
      </w:r>
    </w:p>
    <w:p>
      <w:pPr>
        <w:pStyle w:val="3"/>
        <w:rPr>
          <w:rFonts w:eastAsiaTheme="minorEastAsia"/>
          <w:lang w:eastAsia="zh-CN"/>
        </w:rPr>
      </w:pPr>
      <w:r>
        <w:rPr>
          <w:rFonts w:eastAsiaTheme="minorEastAsia"/>
          <w:lang w:eastAsia="zh-CN"/>
        </w:rPr>
        <w:t>Consider the dedicated pool for discovery is introduced, for mode-1, the gNB should be able to identify discovery message to help it to schedule the transmission in correct pool. According to SA2 23.304:</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5"/>
            </w:pPr>
            <w:bookmarkStart w:id="12" w:name="_Toc27821854"/>
            <w:bookmarkStart w:id="13" w:name="_Toc51838919"/>
            <w:bookmarkStart w:id="14" w:name="_Toc51754092"/>
            <w:bookmarkStart w:id="15" w:name="_Toc19199064"/>
            <w:bookmarkStart w:id="16" w:name="_Toc36126208"/>
            <w:bookmarkStart w:id="17" w:name="_Toc51753958"/>
            <w:bookmarkStart w:id="18" w:name="_Toc45012532"/>
            <w:bookmarkStart w:id="19" w:name="_Toc66692645"/>
            <w:bookmarkStart w:id="20" w:name="_Toc83206592"/>
            <w:bookmarkStart w:id="21" w:name="_Toc66701824"/>
            <w:bookmarkStart w:id="22" w:name="_Toc73625492"/>
            <w:bookmarkStart w:id="23" w:name="_Toc69883482"/>
            <w:r>
              <w:t>5.1.2</w:t>
            </w:r>
            <w:r>
              <w:tab/>
            </w:r>
            <w:bookmarkEnd w:id="12"/>
            <w:bookmarkEnd w:id="13"/>
            <w:bookmarkEnd w:id="14"/>
            <w:bookmarkEnd w:id="15"/>
            <w:bookmarkEnd w:id="16"/>
            <w:bookmarkEnd w:id="17"/>
            <w:bookmarkEnd w:id="18"/>
            <w:r>
              <w:t>Authorization and Provisioning for 5G ProSe Direct Discovery</w:t>
            </w:r>
            <w:bookmarkEnd w:id="19"/>
            <w:bookmarkEnd w:id="20"/>
            <w:bookmarkEnd w:id="21"/>
            <w:bookmarkEnd w:id="22"/>
            <w:bookmarkEnd w:id="23"/>
          </w:p>
          <w:p>
            <w:pPr>
              <w:pStyle w:val="6"/>
              <w:rPr>
                <w:lang w:eastAsia="zh-CN"/>
              </w:rPr>
            </w:pPr>
            <w:bookmarkStart w:id="24" w:name="_Toc83206593"/>
            <w:r>
              <w:rPr>
                <w:lang w:eastAsia="zh-CN"/>
              </w:rPr>
              <w:t>5.1.2.1</w:t>
            </w:r>
            <w:r>
              <w:rPr>
                <w:lang w:eastAsia="zh-CN"/>
              </w:rPr>
              <w:tab/>
            </w:r>
            <w:r>
              <w:rPr>
                <w:lang w:eastAsia="zh-CN"/>
              </w:rPr>
              <w:t>Policy/Parameter provi</w:t>
            </w:r>
            <w:r>
              <w:t>sioning for 5G ProSe Direct Discovery</w:t>
            </w:r>
            <w:bookmarkEnd w:id="24"/>
          </w:p>
          <w:p>
            <w:pPr>
              <w:pStyle w:val="75"/>
            </w:pPr>
            <w:r>
              <w:t xml:space="preserve">NOTE 3: The values provisioned for the Destination Layer-2 ID(s) for 5G ProSe Direct Discovery </w:t>
            </w:r>
            <w:r>
              <w:rPr>
                <w:highlight w:val="yellow"/>
              </w:rPr>
              <w:t>are different</w:t>
            </w:r>
            <w:r>
              <w:t xml:space="preserve"> to the values provisioned for Destination Layer-2 ID(s) for 5G ProSe Direct Communication, defined in clause 5.1.3.1.</w:t>
            </w:r>
          </w:p>
        </w:tc>
      </w:tr>
    </w:tbl>
    <w:p>
      <w:pPr>
        <w:pStyle w:val="3"/>
        <w:rPr>
          <w:rFonts w:eastAsiaTheme="minorEastAsia"/>
          <w:lang w:eastAsia="zh-CN"/>
        </w:rPr>
      </w:pPr>
      <w:r>
        <w:rPr>
          <w:rFonts w:eastAsiaTheme="minorEastAsia"/>
          <w:lang w:eastAsia="zh-CN"/>
        </w:rPr>
        <w:t xml:space="preserve">However, the case is only for provisioning L2 ID. During the link establishment procedure and later L2 ID update procedure, while the UE may self-assign L2 ID, the L2 ID for discovery and communication may still be the same. This can be asked and confirmed by SA2. On the other hand, no matter the L2 ID for discovery/communication should be the same or not, according to the current BSR format from 3GPP TS 38.321 v16.5.0, the Destination Index is used: </w:t>
      </w:r>
    </w:p>
    <w:p>
      <w:pPr>
        <w:keepNext/>
        <w:keepLines/>
        <w:overflowPunct w:val="0"/>
        <w:autoSpaceDE w:val="0"/>
        <w:autoSpaceDN w:val="0"/>
        <w:adjustRightInd w:val="0"/>
        <w:spacing w:before="60" w:after="180"/>
        <w:jc w:val="center"/>
        <w:textAlignment w:val="baseline"/>
        <w:rPr>
          <w:rFonts w:ascii="Arial" w:hAnsi="Arial"/>
          <w:b/>
          <w:szCs w:val="20"/>
          <w:lang w:val="en-GB" w:eastAsia="ja-JP"/>
        </w:rPr>
      </w:pPr>
      <w:r>
        <w:rPr>
          <w:rFonts w:ascii="Arial" w:hAnsi="Arial"/>
          <w:b/>
          <w:szCs w:val="20"/>
          <w:lang w:val="en-GB" w:eastAsia="ja-JP"/>
        </w:rPr>
        <w:object>
          <v:shape id="_x0000_i1025" o:spt="75" type="#_x0000_t75" style="height:184.1pt;width:238.3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keepLines/>
        <w:overflowPunct w:val="0"/>
        <w:autoSpaceDE w:val="0"/>
        <w:autoSpaceDN w:val="0"/>
        <w:adjustRightInd w:val="0"/>
        <w:spacing w:after="240"/>
        <w:jc w:val="center"/>
        <w:textAlignment w:val="baseline"/>
        <w:rPr>
          <w:rFonts w:ascii="Arial" w:hAnsi="Arial"/>
          <w:b/>
          <w:szCs w:val="20"/>
          <w:lang w:val="en-GB" w:eastAsia="ja-JP"/>
        </w:rPr>
      </w:pPr>
      <w:r>
        <w:rPr>
          <w:rFonts w:ascii="Arial" w:hAnsi="Arial"/>
          <w:b/>
          <w:szCs w:val="20"/>
          <w:lang w:val="en-GB" w:eastAsia="ja-JP"/>
        </w:rPr>
        <w:t>Figure 6.1.3.33-1: SL-BSR and Truncated SL-BSR MAC control element</w:t>
      </w:r>
    </w:p>
    <w:p>
      <w:pPr>
        <w:pStyle w:val="14"/>
        <w:jc w:val="both"/>
        <w:rPr>
          <w:rFonts w:eastAsiaTheme="minorEastAsia"/>
          <w:lang w:eastAsia="zh-CN"/>
        </w:rPr>
      </w:pPr>
      <w:r>
        <w:rPr>
          <w:rFonts w:eastAsiaTheme="minorEastAsia"/>
          <w:lang w:eastAsia="zh-CN"/>
        </w:rPr>
        <w:t xml:space="preserve">Therefore, in case that discovery message and communication message share the same L2 ID, the destination ID can be assigned with two different </w:t>
      </w:r>
      <w:r>
        <w:rPr>
          <w:lang w:val="en-US"/>
        </w:rPr>
        <w:t xml:space="preserve">L2 ID indexes respectively to differentiate communication </w:t>
      </w:r>
      <w:r>
        <w:rPr>
          <w:rFonts w:eastAsiaTheme="minorEastAsia"/>
          <w:lang w:eastAsia="zh-CN"/>
        </w:rPr>
        <w:t xml:space="preserve">data and discovery message in BSR </w:t>
      </w:r>
      <w:r>
        <w:rPr>
          <w:rFonts w:hint="eastAsia" w:eastAsiaTheme="minorEastAsia"/>
          <w:lang w:eastAsia="zh-CN"/>
        </w:rPr>
        <w:t>report</w:t>
      </w:r>
      <w:r>
        <w:rPr>
          <w:rFonts w:eastAsiaTheme="minorEastAsia"/>
          <w:lang w:eastAsia="zh-CN"/>
        </w:rPr>
        <w:t xml:space="preserve">. </w:t>
      </w:r>
    </w:p>
    <w:p>
      <w:pPr>
        <w:jc w:val="both"/>
        <w:rPr>
          <w:rFonts w:eastAsiaTheme="minorEastAsia"/>
          <w:lang w:val="en-GB" w:eastAsia="zh-CN"/>
        </w:rPr>
      </w:pPr>
      <w:r>
        <w:rPr>
          <w:rFonts w:eastAsiaTheme="minorEastAsia"/>
          <w:lang w:val="en-GB" w:eastAsia="zh-CN"/>
        </w:rPr>
        <w:t xml:space="preserve">Another alternative is to </w:t>
      </w:r>
    </w:p>
    <w:p>
      <w:pPr>
        <w:pStyle w:val="3"/>
        <w:numPr>
          <w:ilvl w:val="0"/>
          <w:numId w:val="5"/>
        </w:numPr>
        <w:rPr>
          <w:rFonts w:eastAsiaTheme="minorEastAsia"/>
          <w:lang w:val="en-GB" w:eastAsia="zh-CN"/>
        </w:rPr>
      </w:pPr>
      <w:r>
        <w:rPr>
          <w:rFonts w:eastAsiaTheme="minorEastAsia"/>
          <w:lang w:val="en-GB" w:eastAsia="zh-CN"/>
        </w:rPr>
        <w:t>Define a specific LCG ID for discovery message and the gNB can identify discovery message based on the LCG ID;</w:t>
      </w:r>
    </w:p>
    <w:p>
      <w:pPr>
        <w:pStyle w:val="3"/>
        <w:rPr>
          <w:rFonts w:eastAsiaTheme="minorEastAsia"/>
          <w:lang w:eastAsia="zh-CN"/>
        </w:rPr>
      </w:pPr>
      <w:r>
        <w:rPr>
          <w:rFonts w:eastAsiaTheme="minorEastAsia"/>
          <w:lang w:val="en-GB" w:eastAsia="zh-CN"/>
        </w:rPr>
        <w:t xml:space="preserve">However, the space for LCG ID is limited with only 8 and </w:t>
      </w:r>
      <w:r>
        <w:rPr>
          <w:rFonts w:eastAsiaTheme="minorEastAsia"/>
          <w:lang w:eastAsia="zh-CN"/>
        </w:rPr>
        <w:t>it may cause backward compatibility issue because the new LCG ID may not be regarded as only for discovery message for legacy ones. Therefore,</w:t>
      </w:r>
    </w:p>
    <w:p>
      <w:pPr>
        <w:pStyle w:val="14"/>
        <w:jc w:val="both"/>
        <w:rPr>
          <w:b/>
        </w:rPr>
      </w:pPr>
      <w:bookmarkStart w:id="25" w:name="_Ref85796318"/>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No specific LCG ID is used to distinguish discovery message from communication data in SL BSR report.</w:t>
      </w:r>
      <w:bookmarkEnd w:id="25"/>
    </w:p>
    <w:p>
      <w:pPr>
        <w:jc w:val="both"/>
        <w:rPr>
          <w:b/>
        </w:rPr>
      </w:pPr>
      <w:bookmarkStart w:id="26" w:name="_Ref85796319"/>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In case the same L2 ID is used for communication data and discovery message buffer status report, this L2 ID can be assigned with two different destination indexes respectively for communication data and discovery message by the UE.</w:t>
      </w:r>
      <w:bookmarkEnd w:id="26"/>
      <w:r>
        <w:rPr>
          <w:b/>
        </w:rPr>
        <w:t xml:space="preserve"> </w:t>
      </w:r>
    </w:p>
    <w:p>
      <w:pPr>
        <w:pStyle w:val="4"/>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Impact of CBR on discovery message</w:t>
      </w:r>
    </w:p>
    <w:p>
      <w:pPr>
        <w:jc w:val="both"/>
        <w:rPr>
          <w:iCs/>
        </w:rPr>
      </w:pPr>
      <w:r>
        <w:rPr>
          <w:rFonts w:eastAsiaTheme="minorEastAsia"/>
          <w:lang w:val="en-GB" w:eastAsia="zh-CN"/>
        </w:rPr>
        <w:t xml:space="preserve">In NR sidelink, the mapping between </w:t>
      </w:r>
      <w:r>
        <w:t xml:space="preserve">PSSCH </w:t>
      </w:r>
      <w:r>
        <w:rPr>
          <w:lang w:eastAsia="zh-CN"/>
        </w:rPr>
        <w:t>transmission</w:t>
      </w:r>
      <w:r>
        <w:t xml:space="preserve"> parameters, </w:t>
      </w:r>
      <w:r>
        <w:rPr>
          <w:lang w:eastAsia="zh-CN"/>
        </w:rPr>
        <w:t xml:space="preserve">CBR and </w:t>
      </w:r>
      <w:r>
        <w:rPr>
          <w:rFonts w:cs="Courier New"/>
          <w:lang w:eastAsia="zh-CN"/>
        </w:rPr>
        <w:t xml:space="preserve">priority is supported by the configuration parameter </w:t>
      </w:r>
      <w:r>
        <w:rPr>
          <w:i/>
          <w:iCs/>
        </w:rPr>
        <w:t>SL-CBR-PriorityTxConfigList</w:t>
      </w:r>
      <w:r>
        <w:rPr>
          <w:iCs/>
        </w:rPr>
        <w:t>,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rPr>
                <w:rFonts w:eastAsiaTheme="minorEastAsia"/>
                <w:b/>
                <w:szCs w:val="20"/>
                <w:lang w:eastAsia="zh-CN"/>
              </w:rPr>
            </w:pPr>
            <w:r>
              <w:rPr>
                <w:rFonts w:eastAsiaTheme="minorEastAsia"/>
                <w:b/>
                <w:szCs w:val="20"/>
                <w:lang w:eastAsia="zh-CN"/>
              </w:rPr>
              <w:t>TS 38.331</w:t>
            </w:r>
          </w:p>
          <w:p>
            <w:pPr>
              <w:rPr>
                <w:rFonts w:ascii="Arial" w:hAnsi="Arial" w:cs="Arial" w:eastAsiaTheme="minorEastAsia"/>
                <w:sz w:val="28"/>
                <w:szCs w:val="28"/>
                <w:lang w:eastAsia="zh-CN"/>
              </w:rPr>
            </w:pPr>
            <w:r>
              <w:rPr>
                <w:rFonts w:ascii="Arial" w:hAnsi="Arial" w:cs="Arial" w:eastAsiaTheme="minorEastAsia"/>
                <w:sz w:val="28"/>
                <w:szCs w:val="28"/>
                <w:lang w:eastAsia="zh-CN"/>
              </w:rPr>
              <w:t>6.3.5</w:t>
            </w:r>
            <w:r>
              <w:rPr>
                <w:rFonts w:ascii="Arial" w:hAnsi="Arial" w:cs="Arial" w:eastAsiaTheme="minorEastAsia"/>
                <w:sz w:val="28"/>
                <w:szCs w:val="28"/>
                <w:lang w:eastAsia="zh-CN"/>
              </w:rPr>
              <w:tab/>
            </w:r>
            <w:r>
              <w:rPr>
                <w:rFonts w:ascii="Arial" w:hAnsi="Arial" w:cs="Arial" w:eastAsiaTheme="minorEastAsia"/>
                <w:sz w:val="28"/>
                <w:szCs w:val="28"/>
                <w:lang w:eastAsia="zh-CN"/>
              </w:rPr>
              <w:t>Sidelink information elements</w:t>
            </w:r>
          </w:p>
          <w:p>
            <w:pPr>
              <w:rPr>
                <w:rFonts w:ascii="Arial" w:hAnsi="Arial" w:cs="Arial" w:eastAsiaTheme="minorEastAsia"/>
                <w:i/>
                <w:sz w:val="24"/>
                <w:lang w:eastAsia="zh-CN"/>
              </w:rPr>
            </w:pPr>
            <w:r>
              <w:rPr>
                <w:rFonts w:ascii="Arial" w:hAnsi="Arial" w:cs="Arial" w:eastAsiaTheme="minorEastAsia"/>
                <w:i/>
                <w:sz w:val="24"/>
                <w:lang w:eastAsia="zh-CN"/>
              </w:rPr>
              <w:t>SL-CBR-PriorityTxConfigList</w:t>
            </w:r>
          </w:p>
          <w:p>
            <w:r>
              <w:t xml:space="preserve">The IE </w:t>
            </w:r>
            <w:r>
              <w:rPr>
                <w:i/>
              </w:rPr>
              <w:t>SL-CBR-PriorityTxConfigList</w:t>
            </w:r>
            <w:r>
              <w:t xml:space="preserve"> indicates </w:t>
            </w:r>
            <w:r>
              <w:rPr>
                <w:lang w:eastAsia="zh-CN"/>
              </w:rPr>
              <w:t xml:space="preserve">the </w:t>
            </w:r>
            <w:r>
              <w:rPr>
                <w:highlight w:val="yellow"/>
                <w:lang w:eastAsia="zh-CN"/>
              </w:rPr>
              <w:t xml:space="preserve">mapping between </w:t>
            </w:r>
            <w:r>
              <w:rPr>
                <w:highlight w:val="yellow"/>
              </w:rPr>
              <w:t xml:space="preserve">PSSCH </w:t>
            </w:r>
            <w:r>
              <w:rPr>
                <w:highlight w:val="yellow"/>
                <w:lang w:eastAsia="zh-CN"/>
              </w:rPr>
              <w:t>transmission</w:t>
            </w:r>
            <w:r>
              <w:rPr>
                <w:highlight w:val="yellow"/>
              </w:rPr>
              <w:t xml:space="preserve"> parameter </w:t>
            </w:r>
            <w:r>
              <w:rPr>
                <w:highlight w:val="yellow"/>
                <w:lang w:eastAsia="zh-CN"/>
              </w:rPr>
              <w:t>(</w:t>
            </w:r>
            <w:r>
              <w:rPr>
                <w:highlight w:val="yellow"/>
              </w:rPr>
              <w:t>such as MCS, PRB number, retransmission number</w:t>
            </w:r>
            <w:r>
              <w:rPr>
                <w:highlight w:val="yellow"/>
                <w:lang w:eastAsia="zh-CN"/>
              </w:rPr>
              <w:t>, CR limit) sets</w:t>
            </w:r>
            <w:r>
              <w:rPr>
                <w:lang w:eastAsia="zh-CN"/>
              </w:rPr>
              <w:t xml:space="preserve"> </w:t>
            </w:r>
            <w:r>
              <w:rPr>
                <w:bCs/>
                <w:kern w:val="2"/>
                <w:lang w:eastAsia="zh-CN"/>
              </w:rPr>
              <w:t xml:space="preserve">by using the </w:t>
            </w:r>
            <w:r>
              <w:rPr>
                <w:rFonts w:eastAsia="MS Mincho"/>
                <w:bCs/>
                <w:kern w:val="2"/>
                <w:lang w:eastAsia="en-GB"/>
              </w:rPr>
              <w:t>index</w:t>
            </w:r>
            <w:r>
              <w:rPr>
                <w:bCs/>
                <w:kern w:val="2"/>
                <w:lang w:eastAsia="zh-CN"/>
              </w:rPr>
              <w:t>es</w:t>
            </w:r>
            <w:r>
              <w:rPr>
                <w:rFonts w:eastAsia="MS Mincho"/>
                <w:bCs/>
                <w:kern w:val="2"/>
                <w:lang w:eastAsia="en-GB"/>
              </w:rPr>
              <w:t xml:space="preserve"> of the configuration</w:t>
            </w:r>
            <w:r>
              <w:rPr>
                <w:bCs/>
                <w:kern w:val="2"/>
                <w:lang w:eastAsia="zh-CN"/>
              </w:rPr>
              <w:t>s</w:t>
            </w:r>
            <w:r>
              <w:rPr>
                <w:rFonts w:eastAsia="MS Mincho"/>
                <w:bCs/>
                <w:kern w:val="2"/>
                <w:lang w:eastAsia="en-GB"/>
              </w:rPr>
              <w:t xml:space="preserve"> </w:t>
            </w:r>
            <w:r>
              <w:rPr>
                <w:bCs/>
                <w:kern w:val="2"/>
                <w:lang w:eastAsia="zh-CN"/>
              </w:rPr>
              <w:t>provided</w:t>
            </w:r>
            <w:r>
              <w:rPr>
                <w:rFonts w:eastAsia="MS Mincho"/>
                <w:bCs/>
                <w:kern w:val="2"/>
                <w:lang w:eastAsia="en-GB"/>
              </w:rPr>
              <w:t xml:space="preserve"> in </w:t>
            </w:r>
            <w:r>
              <w:rPr>
                <w:bCs/>
                <w:i/>
                <w:iCs/>
                <w:lang w:eastAsia="zh-CN"/>
              </w:rPr>
              <w:t>sl-CBR-PSSCH-TxConfigList</w:t>
            </w:r>
            <w:r>
              <w:rPr>
                <w:lang w:eastAsia="zh-CN"/>
              </w:rPr>
              <w:t xml:space="preserve">, </w:t>
            </w:r>
            <w:r>
              <w:rPr>
                <w:highlight w:val="yellow"/>
                <w:lang w:eastAsia="zh-CN"/>
              </w:rPr>
              <w:t>CBR ranges</w:t>
            </w:r>
            <w:r>
              <w:rPr>
                <w:lang w:eastAsia="zh-CN"/>
              </w:rPr>
              <w:t xml:space="preserve"> by an index </w:t>
            </w:r>
            <w:r>
              <w:rPr>
                <w:rFonts w:eastAsia="MS Mincho"/>
                <w:bCs/>
                <w:kern w:val="2"/>
                <w:lang w:eastAsia="en-GB"/>
              </w:rPr>
              <w:t xml:space="preserve">to the entry of the </w:t>
            </w:r>
            <w:r>
              <w:rPr>
                <w:bCs/>
                <w:kern w:val="2"/>
                <w:lang w:eastAsia="zh-CN"/>
              </w:rPr>
              <w:t>CBR range c</w:t>
            </w:r>
            <w:r>
              <w:rPr>
                <w:rFonts w:eastAsia="MS Mincho"/>
                <w:bCs/>
                <w:kern w:val="2"/>
                <w:lang w:eastAsia="en-GB"/>
              </w:rPr>
              <w:t>onfiguration</w:t>
            </w:r>
            <w:r>
              <w:rPr>
                <w:bCs/>
                <w:kern w:val="2"/>
                <w:lang w:eastAsia="zh-CN"/>
              </w:rPr>
              <w:t xml:space="preserve"> </w:t>
            </w:r>
            <w:r>
              <w:rPr>
                <w:rFonts w:eastAsia="MS Mincho"/>
                <w:bCs/>
                <w:kern w:val="2"/>
                <w:lang w:eastAsia="en-GB"/>
              </w:rPr>
              <w:t xml:space="preserve">in </w:t>
            </w:r>
            <w:r>
              <w:rPr>
                <w:rFonts w:eastAsia="MS Mincho"/>
                <w:bCs/>
                <w:i/>
                <w:kern w:val="2"/>
                <w:lang w:eastAsia="en-GB"/>
              </w:rPr>
              <w:t>sl-CBR-RangeConfigList</w:t>
            </w:r>
            <w:r>
              <w:rPr>
                <w:rFonts w:cs="Courier New"/>
                <w:lang w:eastAsia="zh-CN"/>
              </w:rPr>
              <w:t xml:space="preserve">, </w:t>
            </w:r>
            <w:r>
              <w:rPr>
                <w:rFonts w:cs="Courier New"/>
                <w:highlight w:val="yellow"/>
                <w:lang w:eastAsia="zh-CN"/>
              </w:rPr>
              <w:t>and priority ranges</w:t>
            </w:r>
            <w:r>
              <w:rPr>
                <w:highlight w:val="yellow"/>
              </w:rPr>
              <w:t>.</w:t>
            </w:r>
            <w:r>
              <w:rPr>
                <w:lang w:eastAsia="zh-CN"/>
              </w:rPr>
              <w:t xml:space="preserve"> It also indicates the default PSSCH transmission parameters to be used when CBR measurement results are not available, and MCS range for the MCS tables used in the resource pool</w:t>
            </w:r>
            <w:r>
              <w:t>.</w:t>
            </w:r>
          </w:p>
          <w:p>
            <w:pPr>
              <w:pStyle w:val="39"/>
            </w:pPr>
            <w:r>
              <w:rPr>
                <w:i/>
                <w:iCs/>
              </w:rPr>
              <w:t>SL-CBR-PriorityTxConfigList</w:t>
            </w:r>
            <w:r>
              <w:t xml:space="preserve"> information element</w:t>
            </w:r>
          </w:p>
          <w:p>
            <w:pPr>
              <w:pStyle w:val="73"/>
              <w:rPr>
                <w:color w:val="808080"/>
              </w:rPr>
            </w:pPr>
            <w:r>
              <w:rPr>
                <w:color w:val="808080"/>
              </w:rPr>
              <w:t>-- ASN1START</w:t>
            </w:r>
          </w:p>
          <w:p>
            <w:pPr>
              <w:pStyle w:val="73"/>
              <w:rPr>
                <w:color w:val="808080"/>
              </w:rPr>
            </w:pPr>
            <w:r>
              <w:rPr>
                <w:color w:val="808080"/>
              </w:rPr>
              <w:t>-- TAG-SL-CBR-PRIORITYTXCONFIGLIST-START</w:t>
            </w:r>
          </w:p>
          <w:p>
            <w:pPr>
              <w:pStyle w:val="73"/>
            </w:pPr>
          </w:p>
          <w:p>
            <w:pPr>
              <w:pStyle w:val="73"/>
            </w:pPr>
            <w:r>
              <w:t xml:space="preserve">SL-CBR-PriorityTxConfigList-r16 ::= </w:t>
            </w:r>
            <w:r>
              <w:rPr>
                <w:color w:val="993366"/>
              </w:rPr>
              <w:t>SEQUENCE</w:t>
            </w:r>
            <w:r>
              <w:t xml:space="preserve"> (</w:t>
            </w:r>
            <w:r>
              <w:rPr>
                <w:color w:val="993366"/>
              </w:rPr>
              <w:t>SIZE</w:t>
            </w:r>
            <w:r>
              <w:t xml:space="preserve"> (1..8))</w:t>
            </w:r>
            <w:r>
              <w:rPr>
                <w:color w:val="993366"/>
              </w:rPr>
              <w:t xml:space="preserve"> OF</w:t>
            </w:r>
            <w:r>
              <w:t xml:space="preserve"> SL-PriorityTxConfigIndex-r16</w:t>
            </w:r>
          </w:p>
          <w:p>
            <w:pPr>
              <w:pStyle w:val="73"/>
            </w:pPr>
          </w:p>
          <w:p>
            <w:pPr>
              <w:pStyle w:val="73"/>
            </w:pPr>
            <w:r>
              <w:t xml:space="preserve">SL-CBR-PriorityTxConfigList-v1650 ::= </w:t>
            </w:r>
            <w:r>
              <w:rPr>
                <w:color w:val="993366"/>
              </w:rPr>
              <w:t>SEQUENCE</w:t>
            </w:r>
            <w:r>
              <w:t xml:space="preserve"> (</w:t>
            </w:r>
            <w:r>
              <w:rPr>
                <w:color w:val="993366"/>
              </w:rPr>
              <w:t>SIZE</w:t>
            </w:r>
            <w:r>
              <w:t xml:space="preserve"> (1..8))</w:t>
            </w:r>
            <w:r>
              <w:rPr>
                <w:color w:val="993366"/>
              </w:rPr>
              <w:t xml:space="preserve"> OF</w:t>
            </w:r>
            <w:r>
              <w:t xml:space="preserve"> SL-PriorityTxConfigIndex-v1650</w:t>
            </w:r>
          </w:p>
          <w:p>
            <w:pPr>
              <w:pStyle w:val="73"/>
            </w:pPr>
          </w:p>
          <w:p>
            <w:pPr>
              <w:pStyle w:val="73"/>
            </w:pPr>
            <w:r>
              <w:t xml:space="preserve">SL-PriorityTxConfigIndex-r16 ::=    </w:t>
            </w:r>
            <w:r>
              <w:rPr>
                <w:color w:val="993366"/>
              </w:rPr>
              <w:t>SEQUENCE</w:t>
            </w:r>
            <w:r>
              <w:t xml:space="preserve"> {</w:t>
            </w:r>
          </w:p>
          <w:p>
            <w:pPr>
              <w:pStyle w:val="73"/>
              <w:rPr>
                <w:color w:val="808080"/>
              </w:rPr>
            </w:pPr>
            <w:r>
              <w:t xml:space="preserve">    sl-PriorityThreshold-r16             </w:t>
            </w:r>
            <w:r>
              <w:rPr>
                <w:color w:val="993366"/>
              </w:rPr>
              <w:t>INTEGER</w:t>
            </w:r>
            <w:r>
              <w:t xml:space="preserve"> (1..8)                                                   </w:t>
            </w:r>
            <w:r>
              <w:rPr>
                <w:color w:val="993366"/>
              </w:rPr>
              <w:t>OPTIONAL</w:t>
            </w:r>
            <w:r>
              <w:t xml:space="preserve">,    </w:t>
            </w:r>
            <w:r>
              <w:rPr>
                <w:color w:val="808080"/>
              </w:rPr>
              <w:t>-- Need M</w:t>
            </w:r>
          </w:p>
          <w:p>
            <w:pPr>
              <w:pStyle w:val="73"/>
              <w:rPr>
                <w:rFonts w:eastAsia="等线"/>
                <w:color w:val="808080"/>
              </w:rPr>
            </w:pPr>
            <w:r>
              <w:t xml:space="preserve">    </w:t>
            </w:r>
            <w:r>
              <w:rPr>
                <w:rFonts w:eastAsia="等线"/>
              </w:rPr>
              <w:t>sl-DefaultTxConfigIndex-r16</w:t>
            </w:r>
            <w:r>
              <w:t xml:space="preserve">          </w:t>
            </w:r>
            <w:r>
              <w:rPr>
                <w:rFonts w:eastAsia="等线"/>
                <w:color w:val="993366"/>
              </w:rPr>
              <w:t>INTEGER</w:t>
            </w:r>
            <w:r>
              <w:rPr>
                <w:rFonts w:eastAsia="等线"/>
              </w:rPr>
              <w:t xml:space="preserve"> (0..maxCBR-Level-1-r16)</w:t>
            </w:r>
            <w:r>
              <w:t xml:space="preserve">                                  </w:t>
            </w:r>
            <w:r>
              <w:rPr>
                <w:color w:val="993366"/>
              </w:rPr>
              <w:t>OPTIONAL</w:t>
            </w:r>
            <w:r>
              <w:t xml:space="preserve">,    </w:t>
            </w:r>
            <w:r>
              <w:rPr>
                <w:color w:val="808080"/>
              </w:rPr>
              <w:t>-- Need M</w:t>
            </w:r>
          </w:p>
          <w:p>
            <w:pPr>
              <w:pStyle w:val="73"/>
              <w:rPr>
                <w:rFonts w:eastAsia="等线"/>
                <w:color w:val="808080"/>
              </w:rPr>
            </w:pPr>
            <w:r>
              <w:t xml:space="preserve">    </w:t>
            </w:r>
            <w:r>
              <w:rPr>
                <w:rFonts w:eastAsia="等线"/>
              </w:rPr>
              <w:t>sl-CBR-ConfigIndex-r16</w:t>
            </w:r>
            <w:r>
              <w:t xml:space="preserve">               </w:t>
            </w:r>
            <w:r>
              <w:rPr>
                <w:rFonts w:eastAsia="等线"/>
                <w:color w:val="993366"/>
              </w:rPr>
              <w:t>INTEGER</w:t>
            </w:r>
            <w:r>
              <w:rPr>
                <w:rFonts w:eastAsia="等线"/>
              </w:rPr>
              <w:t xml:space="preserve"> (0..maxCBR-Config-1-r16)</w:t>
            </w:r>
            <w:r>
              <w:t xml:space="preserve">                                 </w:t>
            </w:r>
            <w:r>
              <w:rPr>
                <w:color w:val="993366"/>
              </w:rPr>
              <w:t>OPTIONAL</w:t>
            </w:r>
            <w:r>
              <w:t xml:space="preserve">,    </w:t>
            </w:r>
            <w:r>
              <w:rPr>
                <w:color w:val="808080"/>
              </w:rPr>
              <w:t>-- Need M</w:t>
            </w:r>
          </w:p>
          <w:p>
            <w:pPr>
              <w:pStyle w:val="73"/>
              <w:rPr>
                <w:rFonts w:eastAsia="等线"/>
                <w:color w:val="808080"/>
              </w:rPr>
            </w:pPr>
            <w:r>
              <w:t xml:space="preserve">    </w:t>
            </w:r>
            <w:r>
              <w:rPr>
                <w:rFonts w:eastAsia="等线"/>
              </w:rPr>
              <w:t>sl-Tx-ConfigIndexList-r16</w:t>
            </w:r>
            <w:r>
              <w:t xml:space="preserve">            </w:t>
            </w:r>
            <w:r>
              <w:rPr>
                <w:rFonts w:eastAsia="等线"/>
                <w:color w:val="993366"/>
              </w:rPr>
              <w:t>SEQUENCE</w:t>
            </w:r>
            <w:r>
              <w:rPr>
                <w:rFonts w:eastAsia="等线"/>
              </w:rPr>
              <w:t xml:space="preserve"> (</w:t>
            </w:r>
            <w:r>
              <w:rPr>
                <w:rFonts w:eastAsia="等线"/>
                <w:color w:val="993366"/>
              </w:rPr>
              <w:t>SIZE</w:t>
            </w:r>
            <w:r>
              <w:rPr>
                <w:rFonts w:eastAsia="等线"/>
              </w:rPr>
              <w:t xml:space="preserve"> (1.. maxCBR-Level-r16))</w:t>
            </w:r>
            <w:r>
              <w:rPr>
                <w:rFonts w:eastAsia="等线"/>
                <w:color w:val="993366"/>
              </w:rPr>
              <w:t xml:space="preserve"> OF</w:t>
            </w:r>
            <w:r>
              <w:rPr>
                <w:rFonts w:eastAsia="等线"/>
              </w:rPr>
              <w:t xml:space="preserve"> SL-TxConfigIndex-r16</w:t>
            </w:r>
            <w:r>
              <w:t xml:space="preserve">   </w:t>
            </w:r>
            <w:r>
              <w:rPr>
                <w:color w:val="993366"/>
              </w:rPr>
              <w:t>OPTIONAL</w:t>
            </w:r>
            <w:r>
              <w:t xml:space="preserve">     </w:t>
            </w:r>
            <w:r>
              <w:rPr>
                <w:color w:val="808080"/>
              </w:rPr>
              <w:t>-- Need M</w:t>
            </w:r>
          </w:p>
          <w:p>
            <w:pPr>
              <w:pStyle w:val="73"/>
            </w:pPr>
            <w:r>
              <w:t>}</w:t>
            </w:r>
          </w:p>
          <w:p>
            <w:pPr>
              <w:pStyle w:val="73"/>
            </w:pPr>
          </w:p>
          <w:p>
            <w:pPr>
              <w:pStyle w:val="73"/>
            </w:pPr>
            <w:r>
              <w:t xml:space="preserve">SL-PriorityTxConfigIndex-v1650 ::=  </w:t>
            </w:r>
            <w:r>
              <w:rPr>
                <w:color w:val="993366"/>
              </w:rPr>
              <w:t>SEQUENCE</w:t>
            </w:r>
            <w:r>
              <w:t xml:space="preserve"> {</w:t>
            </w:r>
          </w:p>
          <w:p>
            <w:pPr>
              <w:pStyle w:val="73"/>
              <w:rPr>
                <w:color w:val="808080"/>
              </w:rPr>
            </w:pPr>
            <w:r>
              <w:t xml:space="preserve">    sl-MCS-RangeList-r16                </w:t>
            </w:r>
            <w:r>
              <w:rPr>
                <w:color w:val="993366"/>
              </w:rPr>
              <w:t>SEQUENCE</w:t>
            </w:r>
            <w:r>
              <w:t xml:space="preserve"> (</w:t>
            </w:r>
            <w:r>
              <w:rPr>
                <w:color w:val="993366"/>
              </w:rPr>
              <w:t>SIZE</w:t>
            </w:r>
            <w:r>
              <w:t xml:space="preserve"> (1..maxCBR-Level-r16))</w:t>
            </w:r>
            <w:r>
              <w:rPr>
                <w:color w:val="993366"/>
              </w:rPr>
              <w:t xml:space="preserve"> OF</w:t>
            </w:r>
            <w:r>
              <w:t xml:space="preserve"> SL-MinMaxMCS-List-r16    </w:t>
            </w:r>
            <w:r>
              <w:rPr>
                <w:color w:val="993366"/>
              </w:rPr>
              <w:t>OPTIONAL</w:t>
            </w:r>
            <w:r>
              <w:t xml:space="preserve">     </w:t>
            </w:r>
            <w:r>
              <w:rPr>
                <w:color w:val="808080"/>
              </w:rPr>
              <w:t>-- Need M</w:t>
            </w:r>
          </w:p>
          <w:p>
            <w:pPr>
              <w:pStyle w:val="73"/>
            </w:pPr>
            <w:r>
              <w:t>}</w:t>
            </w:r>
          </w:p>
          <w:p>
            <w:pPr>
              <w:pStyle w:val="73"/>
            </w:pPr>
          </w:p>
          <w:p>
            <w:pPr>
              <w:pStyle w:val="73"/>
            </w:pPr>
            <w:r>
              <w:rPr>
                <w:rFonts w:eastAsia="等线"/>
              </w:rPr>
              <w:t>SL-TxConfigIndex-r16</w:t>
            </w:r>
            <w:r>
              <w:t xml:space="preserve"> ::=            </w:t>
            </w:r>
            <w:r>
              <w:rPr>
                <w:color w:val="993366"/>
              </w:rPr>
              <w:t>INTEGER</w:t>
            </w:r>
            <w:r>
              <w:t xml:space="preserve"> (0..maxTxConfig-1-r16)</w:t>
            </w:r>
          </w:p>
          <w:p>
            <w:pPr>
              <w:pStyle w:val="73"/>
            </w:pPr>
          </w:p>
          <w:p>
            <w:pPr>
              <w:pStyle w:val="73"/>
              <w:rPr>
                <w:color w:val="808080"/>
              </w:rPr>
            </w:pPr>
            <w:r>
              <w:rPr>
                <w:color w:val="808080"/>
              </w:rPr>
              <w:t>-- TAG-SL-CBR-PRIORITYTXCONFIGLIST-STOP</w:t>
            </w:r>
          </w:p>
          <w:p>
            <w:pPr>
              <w:pStyle w:val="73"/>
              <w:rPr>
                <w:color w:val="808080"/>
              </w:rPr>
            </w:pPr>
            <w:r>
              <w:rPr>
                <w:color w:val="808080"/>
              </w:rPr>
              <w:t>-- ASN1STOP</w:t>
            </w:r>
          </w:p>
        </w:tc>
      </w:tr>
    </w:tbl>
    <w:p>
      <w:pPr>
        <w:jc w:val="both"/>
        <w:rPr>
          <w:rFonts w:eastAsiaTheme="minorEastAsia"/>
          <w:lang w:val="en-GB" w:eastAsia="zh-CN"/>
        </w:rPr>
      </w:pPr>
      <w:r>
        <w:rPr>
          <w:rFonts w:eastAsiaTheme="minorEastAsia"/>
          <w:lang w:val="en-GB" w:eastAsia="zh-CN"/>
        </w:rPr>
        <w:t>A</w:t>
      </w:r>
      <w:r>
        <w:rPr>
          <w:rFonts w:hint="eastAsia" w:eastAsiaTheme="minorEastAsia"/>
          <w:lang w:val="en-GB" w:eastAsia="zh-CN"/>
        </w:rPr>
        <w:t>s</w:t>
      </w:r>
      <w:r>
        <w:rPr>
          <w:rFonts w:eastAsiaTheme="minorEastAsia"/>
          <w:lang w:val="en-GB" w:eastAsia="zh-CN"/>
        </w:rPr>
        <w:t xml:space="preserve"> we agreed in RAN2 #113bis-e</w:t>
      </w:r>
      <w:r>
        <w:rPr>
          <w:rFonts w:eastAsiaTheme="minorEastAsia"/>
          <w:lang w:val="en-GB" w:eastAsia="zh-CN"/>
        </w:rPr>
        <w:fldChar w:fldCharType="begin"/>
      </w:r>
      <w:r>
        <w:rPr>
          <w:rFonts w:eastAsiaTheme="minorEastAsia"/>
          <w:lang w:val="en-GB" w:eastAsia="zh-CN"/>
        </w:rPr>
        <w:instrText xml:space="preserve"> REF _Ref78998838 \r \h </w:instrText>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eastAsiaTheme="minorEastAsia"/>
          <w:lang w:val="en-GB" w:eastAsia="zh-CN"/>
        </w:rPr>
        <w:t xml:space="preserve"> and RAN2 #114e</w:t>
      </w:r>
      <w:r>
        <w:rPr>
          <w:rFonts w:eastAsiaTheme="minorEastAsia"/>
          <w:lang w:val="en-GB" w:eastAsia="zh-CN"/>
        </w:rPr>
        <w:fldChar w:fldCharType="begin"/>
      </w:r>
      <w:r>
        <w:rPr>
          <w:rFonts w:eastAsiaTheme="minorEastAsia"/>
          <w:lang w:val="en-GB" w:eastAsia="zh-CN"/>
        </w:rPr>
        <w:instrText xml:space="preserve"> REF _Ref92790750 \r \h </w:instrText>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Pr>
          <w:rFonts w:eastAsiaTheme="minorEastAsia"/>
          <w:lang w:val="en-GB" w:eastAsia="zh-CN"/>
        </w:rPr>
        <w:fldChar w:fldCharType="begin"/>
      </w:r>
      <w:r>
        <w:rPr>
          <w:rFonts w:eastAsiaTheme="minorEastAsia"/>
          <w:lang w:val="en-GB" w:eastAsia="zh-CN"/>
        </w:rPr>
        <w:instrText xml:space="preserve"> REF _Ref78984953 \r \h </w:instrText>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 xml:space="preserve"> meeting that: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p>
            <w:pPr>
              <w:rPr>
                <w:rFonts w:eastAsiaTheme="minorEastAsia"/>
                <w:lang w:eastAsia="zh-CN"/>
              </w:rPr>
            </w:pPr>
            <w:r>
              <w:rPr>
                <w:rFonts w:eastAsiaTheme="minorEastAsia"/>
                <w:highlight w:val="green"/>
                <w:lang w:val="en-GB" w:eastAsia="zh-CN"/>
              </w:rPr>
              <w:t>RAN2 #113bis-e</w:t>
            </w:r>
            <w:r>
              <w:rPr>
                <w:rFonts w:eastAsiaTheme="minorEastAsia"/>
                <w:highlight w:val="green"/>
                <w:lang w:eastAsia="zh-CN"/>
              </w:rPr>
              <w:t xml:space="preserve"> Agreement:</w:t>
            </w:r>
            <w:r>
              <w:rPr>
                <w:rFonts w:eastAsiaTheme="minorEastAsia"/>
                <w:lang w:eastAsia="zh-CN"/>
              </w:rPr>
              <w:br w:type="textWrapping"/>
            </w:r>
            <w:r>
              <w:rPr>
                <w:rFonts w:eastAsiaTheme="minorEastAsia"/>
                <w:lang w:eastAsia="zh-CN"/>
              </w:rPr>
              <w:t>Proposal 8a: [Easy] One new SL-SRB4 is used for all discovery messages. Its parameters will be fixed and defined as SCCH configuration in 38.331. (FFS on the LCH priority in Proposal 8b)</w:t>
            </w:r>
          </w:p>
          <w:p>
            <w:pPr>
              <w:rPr>
                <w:rFonts w:eastAsiaTheme="minorEastAsia"/>
                <w:lang w:val="en-GB" w:eastAsia="zh-CN"/>
              </w:rPr>
            </w:pPr>
            <w:r>
              <w:rPr>
                <w:rFonts w:eastAsiaTheme="minorEastAsia"/>
                <w:highlight w:val="green"/>
                <w:lang w:val="en-GB" w:eastAsia="zh-CN"/>
              </w:rPr>
              <w:t>RAN2 #114-e</w:t>
            </w:r>
            <w:r>
              <w:rPr>
                <w:rFonts w:eastAsiaTheme="minorEastAsia"/>
                <w:highlight w:val="green"/>
                <w:lang w:eastAsia="zh-CN"/>
              </w:rPr>
              <w:t xml:space="preserve"> Agreement:</w:t>
            </w:r>
          </w:p>
          <w:p>
            <w:pPr>
              <w:rPr>
                <w:rFonts w:eastAsiaTheme="minorEastAsia"/>
                <w:lang w:val="en-GB" w:eastAsia="zh-CN"/>
              </w:rPr>
            </w:pPr>
            <w:r>
              <w:rPr>
                <w:rFonts w:eastAsiaTheme="minorEastAsia"/>
                <w:lang w:val="en-GB" w:eastAsia="zh-CN"/>
              </w:rPr>
              <w:t>Proposal 8 [discussion]: RAN2 agrees to fix the priority value as 1 of sidelink discovery message in the specification.</w:t>
            </w:r>
          </w:p>
        </w:tc>
      </w:tr>
    </w:tbl>
    <w:p>
      <w:pPr>
        <w:jc w:val="both"/>
        <w:rPr>
          <w:rFonts w:eastAsiaTheme="minorEastAsia"/>
          <w:lang w:eastAsia="zh-CN"/>
        </w:rPr>
      </w:pPr>
      <w:r>
        <w:rPr>
          <w:rFonts w:eastAsiaTheme="minorEastAsia"/>
          <w:lang w:eastAsia="zh-CN"/>
        </w:rPr>
        <w:t xml:space="preserve">It can be observed that discovery is also transmitted on PSSCH with a new SL-SRB4. And at the same time we also support dedicated pool and shared pool for discovery messages, so it is better for RAN2 to discuss whether/how this </w:t>
      </w:r>
      <w:r>
        <w:rPr>
          <w:rFonts w:eastAsiaTheme="minorEastAsia"/>
          <w:i/>
          <w:lang w:eastAsia="zh-CN"/>
        </w:rPr>
        <w:t xml:space="preserve">SL-CBR-PriorityTxConfigList </w:t>
      </w:r>
      <w:r>
        <w:rPr>
          <w:rFonts w:eastAsiaTheme="minorEastAsia"/>
          <w:lang w:eastAsia="zh-CN"/>
        </w:rPr>
        <w:t xml:space="preserve">is applied to discovery message in both dedicated pool and shared pool respectively. </w:t>
      </w:r>
    </w:p>
    <w:p>
      <w:pPr>
        <w:pStyle w:val="14"/>
        <w:rPr>
          <w:b/>
        </w:rPr>
      </w:pPr>
      <w:bookmarkStart w:id="27" w:name="_Ref79003394"/>
      <w:r>
        <w:rPr>
          <w:b/>
        </w:rPr>
        <w:t xml:space="preserve">Observation </w:t>
      </w:r>
      <w:r>
        <w:rPr>
          <w:b/>
        </w:rPr>
        <w:fldChar w:fldCharType="begin"/>
      </w:r>
      <w:r>
        <w:rPr>
          <w:b/>
        </w:rPr>
        <w:instrText xml:space="preserve"> SEQ Observation \* ARABIC </w:instrText>
      </w:r>
      <w:r>
        <w:rPr>
          <w:b/>
        </w:rPr>
        <w:fldChar w:fldCharType="separate"/>
      </w:r>
      <w:r>
        <w:rPr>
          <w:b/>
        </w:rPr>
        <w:t>3</w:t>
      </w:r>
      <w:r>
        <w:rPr>
          <w:b/>
        </w:rPr>
        <w:fldChar w:fldCharType="end"/>
      </w:r>
      <w:r>
        <w:rPr>
          <w:b/>
        </w:rPr>
        <w:t xml:space="preserve">: It is unclear whether/how the configuration of </w:t>
      </w:r>
      <w:r>
        <w:rPr>
          <w:b/>
          <w:i/>
        </w:rPr>
        <w:t>SL-CBR-PriorityTxConfigList</w:t>
      </w:r>
      <w:r>
        <w:rPr>
          <w:b/>
        </w:rPr>
        <w:t xml:space="preserve"> is applied to discovery message in both dedicated pool and shared pool respectively.</w:t>
      </w:r>
      <w:bookmarkEnd w:id="27"/>
    </w:p>
    <w:p>
      <w:pPr>
        <w:jc w:val="both"/>
        <w:rPr>
          <w:rFonts w:eastAsiaTheme="minorEastAsia"/>
          <w:lang w:val="en-GB" w:eastAsia="zh-CN"/>
        </w:rPr>
      </w:pPr>
      <w:r>
        <w:rPr>
          <w:rFonts w:eastAsiaTheme="minorEastAsia"/>
          <w:lang w:val="en-GB" w:eastAsia="zh-CN"/>
        </w:rPr>
        <w:t>It can be discussed separately:</w:t>
      </w:r>
    </w:p>
    <w:p>
      <w:pPr>
        <w:pStyle w:val="61"/>
        <w:numPr>
          <w:ilvl w:val="0"/>
          <w:numId w:val="6"/>
        </w:numPr>
        <w:ind w:firstLineChars="0"/>
        <w:rPr>
          <w:rFonts w:ascii="Times New Roman" w:hAnsi="Times New Roman" w:eastAsiaTheme="minorEastAsia"/>
          <w:sz w:val="20"/>
          <w:szCs w:val="20"/>
        </w:rPr>
      </w:pPr>
      <w:r>
        <w:rPr>
          <w:rFonts w:ascii="Times New Roman" w:hAnsi="Times New Roman" w:eastAsiaTheme="minorEastAsia"/>
          <w:sz w:val="20"/>
          <w:szCs w:val="20"/>
          <w:lang w:val="en-GB"/>
        </w:rPr>
        <w:t xml:space="preserve">For shared pool, as sidelink discovery message has the fixed priority value 1, a simple solution is to set the priority value to 1 in </w:t>
      </w:r>
      <w:r>
        <w:rPr>
          <w:rFonts w:ascii="Times New Roman" w:hAnsi="Times New Roman" w:eastAsiaTheme="minorEastAsia"/>
          <w:i/>
          <w:sz w:val="20"/>
          <w:szCs w:val="20"/>
        </w:rPr>
        <w:t xml:space="preserve">SL-CBR-PriorityTxConfigList </w:t>
      </w:r>
      <w:r>
        <w:rPr>
          <w:rFonts w:ascii="Times New Roman" w:hAnsi="Times New Roman" w:eastAsiaTheme="minorEastAsia"/>
          <w:sz w:val="20"/>
          <w:szCs w:val="20"/>
        </w:rPr>
        <w:t>and then apply the rest configuration in</w:t>
      </w:r>
      <w:r>
        <w:rPr>
          <w:rFonts w:ascii="Times New Roman" w:hAnsi="Times New Roman" w:eastAsiaTheme="minorEastAsia"/>
          <w:i/>
          <w:sz w:val="20"/>
          <w:szCs w:val="20"/>
        </w:rPr>
        <w:t xml:space="preserve"> SL-CBR-PriorityTxConfigList</w:t>
      </w:r>
      <w:r>
        <w:rPr>
          <w:rFonts w:ascii="Times New Roman" w:hAnsi="Times New Roman" w:eastAsiaTheme="minorEastAsia"/>
          <w:sz w:val="20"/>
          <w:szCs w:val="20"/>
        </w:rPr>
        <w:t xml:space="preserve"> for discovery message.</w:t>
      </w:r>
    </w:p>
    <w:p>
      <w:pPr>
        <w:pStyle w:val="61"/>
        <w:numPr>
          <w:ilvl w:val="0"/>
          <w:numId w:val="6"/>
        </w:numPr>
        <w:ind w:firstLineChars="0"/>
        <w:rPr>
          <w:rFonts w:ascii="Times New Roman" w:hAnsi="Times New Roman" w:eastAsiaTheme="minorEastAsia"/>
          <w:sz w:val="20"/>
          <w:szCs w:val="20"/>
          <w:lang w:val="en-GB"/>
        </w:rPr>
      </w:pPr>
      <w:r>
        <w:rPr>
          <w:rFonts w:ascii="Times New Roman" w:hAnsi="Times New Roman" w:eastAsiaTheme="minorEastAsia"/>
          <w:sz w:val="20"/>
          <w:szCs w:val="20"/>
        </w:rPr>
        <w:t xml:space="preserve">For dedicated pool, however, it should be discussed when we still need to apply </w:t>
      </w:r>
      <w:r>
        <w:rPr>
          <w:rFonts w:ascii="Times New Roman" w:hAnsi="Times New Roman" w:eastAsiaTheme="minorEastAsia"/>
          <w:i/>
          <w:sz w:val="20"/>
          <w:szCs w:val="20"/>
        </w:rPr>
        <w:t>SL-CBR-PriorityTxConfigList</w:t>
      </w:r>
      <w:r>
        <w:rPr>
          <w:rFonts w:ascii="Times New Roman" w:hAnsi="Times New Roman" w:eastAsiaTheme="minorEastAsia"/>
          <w:sz w:val="20"/>
          <w:szCs w:val="20"/>
        </w:rPr>
        <w:t>, which in fact, is about whether we need to have congestion control in the dedicated pool. And even if we agree to perform congestion control for discovery message in dedicated pool, we may also have optimization on the configuration because only the mapping between CBR and PSSCH transmission parameters is needed, without priority anymore, because only discovery messages can be transmitted on the pool. Therefore we propose:</w:t>
      </w:r>
    </w:p>
    <w:p>
      <w:pPr>
        <w:pStyle w:val="14"/>
        <w:jc w:val="both"/>
        <w:rPr>
          <w:b/>
        </w:rPr>
      </w:pPr>
      <w:bookmarkStart w:id="28" w:name="_Ref79003432"/>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 xml:space="preserve">: For shared pool, current </w:t>
      </w:r>
      <w:r>
        <w:rPr>
          <w:rFonts w:eastAsiaTheme="minorEastAsia"/>
          <w:b/>
          <w:i/>
          <w:lang w:eastAsia="zh-CN"/>
        </w:rPr>
        <w:t xml:space="preserve">SL-CBR-PriorityTxConfigList </w:t>
      </w:r>
      <w:r>
        <w:rPr>
          <w:rFonts w:eastAsiaTheme="minorEastAsia"/>
          <w:b/>
          <w:lang w:eastAsia="zh-CN"/>
        </w:rPr>
        <w:t xml:space="preserve">is applied to sidelink discovery message transmission with UE always setting </w:t>
      </w:r>
      <w:r>
        <w:rPr>
          <w:b/>
        </w:rPr>
        <w:t xml:space="preserve">the </w:t>
      </w:r>
      <w:r>
        <w:rPr>
          <w:b/>
          <w:i/>
        </w:rPr>
        <w:t xml:space="preserve">Priority </w:t>
      </w:r>
      <w:r>
        <w:rPr>
          <w:b/>
        </w:rPr>
        <w:t>to 1.</w:t>
      </w:r>
      <w:bookmarkEnd w:id="28"/>
    </w:p>
    <w:p>
      <w:pPr>
        <w:pStyle w:val="14"/>
        <w:jc w:val="both"/>
        <w:rPr>
          <w:b/>
        </w:rPr>
      </w:pPr>
      <w:bookmarkStart w:id="29" w:name="_Ref92804824"/>
      <w:bookmarkStart w:id="30" w:name="_Ref79003433"/>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b/>
        </w:rPr>
        <w:t xml:space="preserve">: For dedicated pool for discovery, RAN2 to discuss whether/how </w:t>
      </w:r>
      <w:r>
        <w:rPr>
          <w:rFonts w:eastAsiaTheme="minorEastAsia"/>
          <w:b/>
        </w:rPr>
        <w:t>PSSCH transmission parameters</w:t>
      </w:r>
      <w:r>
        <w:rPr>
          <w:b/>
        </w:rPr>
        <w:t xml:space="preserve"> should be adjusted due to different CBR, considering following options:</w:t>
      </w:r>
      <w:bookmarkEnd w:id="29"/>
    </w:p>
    <w:p>
      <w:pPr>
        <w:pStyle w:val="61"/>
        <w:numPr>
          <w:ilvl w:val="0"/>
          <w:numId w:val="6"/>
        </w:numPr>
        <w:ind w:firstLineChars="0"/>
        <w:jc w:val="both"/>
        <w:rPr>
          <w:b/>
        </w:rPr>
      </w:pPr>
      <w:r>
        <w:rPr>
          <w:rFonts w:ascii="Times New Roman" w:hAnsi="Times New Roman"/>
          <w:b/>
          <w:sz w:val="20"/>
          <w:szCs w:val="20"/>
          <w:lang w:val="en-GB"/>
        </w:rPr>
        <w:t xml:space="preserve">Option-1: use current </w:t>
      </w:r>
      <w:r>
        <w:rPr>
          <w:rFonts w:ascii="Times New Roman" w:hAnsi="Times New Roman"/>
          <w:b/>
          <w:i/>
          <w:iCs/>
          <w:sz w:val="20"/>
          <w:szCs w:val="20"/>
        </w:rPr>
        <w:t xml:space="preserve">SL-CBR-PriorityTxConfigList </w:t>
      </w:r>
      <w:r>
        <w:rPr>
          <w:rFonts w:ascii="Times New Roman" w:hAnsi="Times New Roman"/>
          <w:b/>
          <w:iCs/>
          <w:sz w:val="20"/>
          <w:szCs w:val="20"/>
        </w:rPr>
        <w:t xml:space="preserve">as in </w:t>
      </w:r>
      <w:r>
        <w:rPr>
          <w:rFonts w:hint="eastAsia" w:ascii="Times New Roman" w:hAnsi="Times New Roman"/>
          <w:b/>
          <w:iCs/>
          <w:sz w:val="20"/>
          <w:szCs w:val="20"/>
        </w:rPr>
        <w:t>P</w:t>
      </w:r>
      <w:r>
        <w:rPr>
          <w:rFonts w:ascii="Times New Roman" w:hAnsi="Times New Roman"/>
          <w:b/>
          <w:iCs/>
          <w:sz w:val="20"/>
          <w:szCs w:val="20"/>
        </w:rPr>
        <w:t>roposal 6.</w:t>
      </w:r>
    </w:p>
    <w:p>
      <w:pPr>
        <w:pStyle w:val="61"/>
        <w:numPr>
          <w:ilvl w:val="0"/>
          <w:numId w:val="6"/>
        </w:numPr>
        <w:ind w:firstLineChars="0"/>
        <w:jc w:val="both"/>
        <w:rPr>
          <w:b/>
        </w:rPr>
      </w:pPr>
      <w:r>
        <w:rPr>
          <w:rFonts w:ascii="Times New Roman" w:hAnsi="Times New Roman"/>
          <w:b/>
          <w:sz w:val="20"/>
          <w:szCs w:val="20"/>
        </w:rPr>
        <w:t xml:space="preserve">Option-2: use current </w:t>
      </w:r>
      <w:r>
        <w:rPr>
          <w:rFonts w:ascii="Times New Roman" w:hAnsi="Times New Roman"/>
          <w:b/>
          <w:i/>
          <w:iCs/>
          <w:sz w:val="20"/>
          <w:szCs w:val="20"/>
        </w:rPr>
        <w:t xml:space="preserve">SL-CBR-CommonTxConfigList </w:t>
      </w:r>
      <w:r>
        <w:rPr>
          <w:rFonts w:ascii="Times New Roman" w:hAnsi="Times New Roman"/>
          <w:b/>
          <w:iCs/>
          <w:sz w:val="20"/>
          <w:szCs w:val="20"/>
        </w:rPr>
        <w:t>(i.e. w/o</w:t>
      </w:r>
      <w:r>
        <w:rPr>
          <w:rFonts w:ascii="Times New Roman" w:hAnsi="Times New Roman"/>
          <w:b/>
          <w:i/>
          <w:iCs/>
          <w:sz w:val="20"/>
          <w:szCs w:val="20"/>
        </w:rPr>
        <w:t xml:space="preserve"> Priority </w:t>
      </w:r>
      <w:r>
        <w:rPr>
          <w:rFonts w:ascii="Times New Roman" w:hAnsi="Times New Roman"/>
          <w:b/>
          <w:iCs/>
          <w:sz w:val="20"/>
          <w:szCs w:val="20"/>
        </w:rPr>
        <w:t>configuration)</w:t>
      </w:r>
    </w:p>
    <w:p>
      <w:pPr>
        <w:pStyle w:val="4"/>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 xml:space="preserve">Impact of </w:t>
      </w:r>
      <w:r>
        <w:rPr>
          <w:rFonts w:hint="eastAsia"/>
          <w:b w:val="0"/>
          <w:sz w:val="32"/>
        </w:rPr>
        <w:t>R</w:t>
      </w:r>
      <w:r>
        <w:rPr>
          <w:b w:val="0"/>
          <w:sz w:val="32"/>
        </w:rPr>
        <w:t>AN sharing with SL relay</w:t>
      </w:r>
    </w:p>
    <w:p>
      <w:pPr>
        <w:jc w:val="both"/>
        <w:rPr>
          <w:rFonts w:eastAsiaTheme="minorEastAsia"/>
          <w:lang w:eastAsia="zh-CN"/>
        </w:rPr>
      </w:pPr>
      <w:r>
        <w:rPr>
          <w:rFonts w:eastAsiaTheme="minorEastAsia"/>
          <w:lang w:eastAsia="zh-CN"/>
        </w:rPr>
        <w:t>In RAN2 #116e meeting, RAN sharing was discussed. In the offline discussion</w:t>
      </w:r>
      <w:r>
        <w:rPr>
          <w:rFonts w:eastAsiaTheme="minorEastAsia"/>
          <w:lang w:eastAsia="zh-CN"/>
        </w:rPr>
        <w:fldChar w:fldCharType="begin"/>
      </w:r>
      <w:r>
        <w:rPr>
          <w:rFonts w:eastAsiaTheme="minorEastAsia"/>
          <w:lang w:eastAsia="zh-CN"/>
        </w:rPr>
        <w:instrText xml:space="preserve"> REF _Ref92791586 \r \h </w:instrText>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the majority agreed the non-serving PLMN IDs can be included in discovery message:</w:t>
      </w:r>
    </w:p>
    <w:p>
      <w:pPr>
        <w:pStyle w:val="3"/>
        <w:bidi w:val="0"/>
        <w:rPr>
          <w:i/>
          <w:iCs/>
          <w:lang w:eastAsia="zh-CN"/>
        </w:rPr>
      </w:pPr>
      <w:bookmarkStart w:id="31" w:name="_Ref92804826"/>
      <w:r>
        <w:rPr>
          <w:i/>
          <w:iCs/>
          <w:lang w:eastAsia="zh-CN"/>
        </w:rPr>
        <w:t>Proposal 8: If RAN sharing is supported for the NG-RAN node, the non-serving PLMN IDs can be delivered to the remote UE in discovery message (10/12). RAN2 further discuss whether to include it in a RRC container of discovery message (9/12) or not (5/12).</w:t>
      </w:r>
      <w:bookmarkEnd w:id="31"/>
    </w:p>
    <w:p>
      <w:pPr>
        <w:jc w:val="both"/>
        <w:rPr>
          <w:rFonts w:eastAsiaTheme="minorEastAsia"/>
          <w:lang w:eastAsia="zh-CN"/>
        </w:rPr>
      </w:pPr>
      <w:r>
        <w:rPr>
          <w:rFonts w:eastAsiaTheme="minorEastAsia"/>
          <w:lang w:eastAsia="zh-CN"/>
        </w:rPr>
        <w:t>In this section, we discuss about the impact of RAN sharing (IF support at last) on discovery message transmission.</w:t>
      </w:r>
    </w:p>
    <w:p>
      <w:pPr>
        <w:jc w:val="both"/>
        <w:rPr>
          <w:rFonts w:eastAsiaTheme="minorEastAsia"/>
          <w:lang w:eastAsia="zh-CN"/>
        </w:rPr>
      </w:pPr>
      <w:r>
        <w:rPr>
          <w:rFonts w:eastAsiaTheme="minorEastAsia"/>
          <w:lang w:eastAsia="zh-CN"/>
        </w:rPr>
        <w:t xml:space="preserve">In case of RAN sharing, the same gNB is shared by two or more operator networks. In order for the UEs to identify that the same gNB can provide access service for multiple operator networks, the gNB broadcasts respective PLMNs and the Cell IDs for different operator networks. The UEs of different operators can identify that the gNB can provide access if any of its registered/equivalent PLMN IDs is found in the broadcasted PLMNs (see </w:t>
      </w:r>
      <w:r>
        <w:t xml:space="preserve">CellAccessRelatedInfo </w:t>
      </w:r>
      <w:r>
        <w:rPr>
          <w:rFonts w:eastAsiaTheme="minorEastAsia"/>
          <w:lang w:eastAsia="zh-CN"/>
        </w:rPr>
        <w:t xml:space="preserve">in 3GPP TS 38.331 v16.6.0). </w:t>
      </w:r>
    </w:p>
    <w:p>
      <w:pPr>
        <w:pStyle w:val="14"/>
        <w:jc w:val="both"/>
        <w:rPr>
          <w:b/>
        </w:rPr>
      </w:pPr>
      <w:bookmarkStart w:id="32" w:name="_Ref92804808"/>
      <w:r>
        <w:rPr>
          <w:b/>
        </w:rPr>
        <w:t xml:space="preserve">Observation </w:t>
      </w:r>
      <w:r>
        <w:rPr>
          <w:b/>
        </w:rPr>
        <w:fldChar w:fldCharType="begin"/>
      </w:r>
      <w:r>
        <w:rPr>
          <w:b/>
        </w:rPr>
        <w:instrText xml:space="preserve"> SEQ Observation \* ARABIC </w:instrText>
      </w:r>
      <w:r>
        <w:rPr>
          <w:b/>
        </w:rPr>
        <w:fldChar w:fldCharType="separate"/>
      </w:r>
      <w:r>
        <w:rPr>
          <w:b/>
        </w:rPr>
        <w:t>4</w:t>
      </w:r>
      <w:r>
        <w:rPr>
          <w:b/>
        </w:rPr>
        <w:fldChar w:fldCharType="end"/>
      </w:r>
      <w:r>
        <w:rPr>
          <w:b/>
        </w:rPr>
        <w:t>: I</w:t>
      </w:r>
      <w:r>
        <w:rPr>
          <w:rFonts w:hint="eastAsia"/>
          <w:b/>
        </w:rPr>
        <w:t xml:space="preserve">f NR access is shared, in </w:t>
      </w:r>
      <w:r>
        <w:rPr>
          <w:b/>
        </w:rPr>
        <w:t>each</w:t>
      </w:r>
      <w:r>
        <w:rPr>
          <w:rFonts w:hint="eastAsia"/>
          <w:b/>
        </w:rPr>
        <w:t xml:space="preserve"> shared cell </w:t>
      </w:r>
      <w:r>
        <w:rPr>
          <w:b/>
        </w:rPr>
        <w:t>the gNB</w:t>
      </w:r>
      <w:r>
        <w:rPr>
          <w:rFonts w:hint="eastAsia"/>
          <w:b/>
        </w:rPr>
        <w:t xml:space="preserve"> broadcast</w:t>
      </w:r>
      <w:r>
        <w:rPr>
          <w:b/>
        </w:rPr>
        <w:t>s</w:t>
      </w:r>
      <w:r>
        <w:rPr>
          <w:rFonts w:hint="eastAsia"/>
          <w:b/>
        </w:rPr>
        <w:t xml:space="preserve"> </w:t>
      </w:r>
      <w:r>
        <w:rPr>
          <w:b/>
        </w:rPr>
        <w:t>respective</w:t>
      </w:r>
      <w:r>
        <w:rPr>
          <w:rFonts w:hint="eastAsia"/>
          <w:b/>
        </w:rPr>
        <w:t xml:space="preserve"> Cell Identity for each subset of PLMNs, PNI-NPNs and SNPNs.</w:t>
      </w:r>
      <w:bookmarkEnd w:id="32"/>
    </w:p>
    <w:p>
      <w:pPr>
        <w:jc w:val="both"/>
        <w:rPr>
          <w:rFonts w:eastAsiaTheme="minorEastAsia"/>
          <w:lang w:eastAsia="zh-CN"/>
        </w:rPr>
      </w:pPr>
      <w:r>
        <w:rPr>
          <w:rFonts w:eastAsiaTheme="minorEastAsia"/>
          <w:lang w:eastAsia="zh-CN"/>
        </w:rPr>
        <w:t>As we have already agreed that the PLMN and cell ID information are carried in the discovery message in previous meeting. It is natural that the PLMNs and cell IDs of multiple operator networks in case of RAN sharing should also be carried in the discovery message. There could be an issue on whether the maximum size of one discovery message can contain the PLMNs and cell IDs. According the existing agreements, as discovery message are transmitted in SL-SRB4 in RLC UM mode, segmentation can be performed if necessary. In such sense, there should be no hard maximum discovery message size limit.</w:t>
      </w:r>
    </w:p>
    <w:p>
      <w:pPr>
        <w:pStyle w:val="14"/>
        <w:jc w:val="both"/>
        <w:rPr>
          <w:b/>
        </w:rPr>
      </w:pPr>
      <w:bookmarkStart w:id="33" w:name="_Ref92804809"/>
      <w:r>
        <w:rPr>
          <w:b/>
        </w:rPr>
        <w:t xml:space="preserve">Observation </w:t>
      </w:r>
      <w:r>
        <w:rPr>
          <w:b/>
        </w:rPr>
        <w:fldChar w:fldCharType="begin"/>
      </w:r>
      <w:r>
        <w:rPr>
          <w:b/>
        </w:rPr>
        <w:instrText xml:space="preserve"> SEQ Observation \* ARABIC </w:instrText>
      </w:r>
      <w:r>
        <w:rPr>
          <w:b/>
        </w:rPr>
        <w:fldChar w:fldCharType="separate"/>
      </w:r>
      <w:r>
        <w:rPr>
          <w:b/>
        </w:rPr>
        <w:t>5</w:t>
      </w:r>
      <w:r>
        <w:rPr>
          <w:b/>
        </w:rPr>
        <w:fldChar w:fldCharType="end"/>
      </w:r>
      <w:r>
        <w:rPr>
          <w:b/>
        </w:rPr>
        <w:t>: if the discovery message is too large to be transmitted in one transmission due to RAN sharing, RLC can segment the discovery message into multiple transmissions</w:t>
      </w:r>
      <w:r>
        <w:rPr>
          <w:rFonts w:hint="eastAsia"/>
          <w:b/>
        </w:rPr>
        <w:t>.</w:t>
      </w:r>
      <w:bookmarkEnd w:id="33"/>
    </w:p>
    <w:p>
      <w:pPr>
        <w:pStyle w:val="14"/>
        <w:jc w:val="both"/>
        <w:rPr>
          <w:b/>
        </w:rPr>
      </w:pPr>
      <w:bookmarkStart w:id="34" w:name="_Ref92804827"/>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If RAN sharing is supported, the PLMNs and Cell IDs of different operator networks are transmitted in the discovery message.</w:t>
      </w:r>
      <w:bookmarkEnd w:id="34"/>
    </w:p>
    <w:p>
      <w:pPr>
        <w:jc w:val="both"/>
        <w:rPr>
          <w:rFonts w:eastAsiaTheme="minorEastAsia"/>
          <w:lang w:eastAsia="zh-CN"/>
        </w:rPr>
      </w:pPr>
      <w:r>
        <w:rPr>
          <w:rFonts w:eastAsiaTheme="minorEastAsia"/>
          <w:lang w:val="en-GB" w:eastAsia="zh-CN"/>
        </w:rPr>
        <w:t xml:space="preserve">At next stop it should be discussed that what are the forms of these multiple </w:t>
      </w:r>
      <w:r>
        <w:t xml:space="preserve">PLMNs and Cell IDs of different operator networks. </w:t>
      </w:r>
      <w:r>
        <w:rPr>
          <w:rFonts w:eastAsiaTheme="minorEastAsia"/>
          <w:lang w:val="en-GB" w:eastAsia="zh-CN"/>
        </w:rPr>
        <w:t>Under the discussion in L2 CP agenda, we have reached the following WA:</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rPr>
                <w:rFonts w:ascii="Arial" w:hAnsi="Arial" w:cs="Arial" w:eastAsiaTheme="minorEastAsia"/>
                <w:lang w:val="en-GB" w:eastAsia="zh-CN"/>
              </w:rPr>
            </w:pPr>
            <w:r>
              <w:rPr>
                <w:rFonts w:ascii="Arial" w:hAnsi="Arial" w:cs="Arial" w:eastAsiaTheme="minorEastAsia"/>
                <w:lang w:val="en-GB" w:eastAsia="zh-CN"/>
              </w:rPr>
              <w:t>Agreement:</w:t>
            </w:r>
          </w:p>
          <w:p>
            <w:pPr>
              <w:rPr>
                <w:rFonts w:eastAsiaTheme="minorEastAsia"/>
                <w:lang w:val="en-GB" w:eastAsia="zh-CN"/>
              </w:rPr>
            </w:pPr>
            <w:r>
              <w:rPr>
                <w:rFonts w:ascii="Arial" w:hAnsi="Arial" w:cs="Arial" w:eastAsiaTheme="minorEastAsia"/>
                <w:lang w:val="en-GB" w:eastAsia="zh-CN"/>
              </w:rPr>
              <w:t>Proposal 17:  WA: cellAccessRelatedInfo from SIB1 [16/23] is forwarded before PC5-RRC connection. FFS the exact signalling.</w:t>
            </w:r>
          </w:p>
        </w:tc>
      </w:tr>
    </w:tbl>
    <w:p>
      <w:pPr>
        <w:jc w:val="both"/>
      </w:pPr>
      <w:r>
        <w:rPr>
          <w:rFonts w:eastAsiaTheme="minorEastAsia"/>
          <w:lang w:val="en-GB" w:eastAsia="zh-CN"/>
        </w:rPr>
        <w:t>If we confirm this WA, and</w:t>
      </w:r>
      <w:r>
        <w:rPr>
          <w:rFonts w:eastAsiaTheme="minorEastAsia"/>
          <w:i/>
          <w:lang w:val="en-GB" w:eastAsia="zh-CN"/>
        </w:rPr>
        <w:t xml:space="preserve"> cellAccessRelatedInfo </w:t>
      </w:r>
      <w:r>
        <w:rPr>
          <w:rFonts w:eastAsiaTheme="minorEastAsia"/>
          <w:lang w:val="en-GB" w:eastAsia="zh-CN"/>
        </w:rPr>
        <w:t xml:space="preserve">is carried in discovery message as an RRC container, then we can reuse </w:t>
      </w:r>
      <w:r>
        <w:rPr>
          <w:i/>
        </w:rPr>
        <w:t>plmn-IdentityInfoList</w:t>
      </w:r>
      <w:r>
        <w:rPr>
          <w:rFonts w:eastAsiaTheme="minorEastAsia"/>
          <w:i/>
          <w:lang w:val="en-GB" w:eastAsia="zh-CN"/>
        </w:rPr>
        <w:t xml:space="preserve"> </w:t>
      </w:r>
      <w:r>
        <w:rPr>
          <w:rFonts w:eastAsiaTheme="minorEastAsia"/>
          <w:lang w:val="en-GB" w:eastAsia="zh-CN"/>
        </w:rPr>
        <w:t xml:space="preserve">to carry the PLMNs and related </w:t>
      </w:r>
      <w:r>
        <w:t>Cell Identity,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73"/>
              <w:ind w:left="1200" w:hanging="400"/>
              <w:rPr>
                <w:lang w:eastAsia="en-GB"/>
              </w:rPr>
            </w:pPr>
            <w:r>
              <w:t>CellAccessRelatedInfo   ::=         SEQUENCE {</w:t>
            </w:r>
          </w:p>
          <w:p>
            <w:pPr>
              <w:pStyle w:val="73"/>
              <w:ind w:left="1200" w:hanging="400"/>
            </w:pPr>
            <w:r>
              <w:t xml:space="preserve">    </w:t>
            </w:r>
            <w:r>
              <w:rPr>
                <w:highlight w:val="yellow"/>
              </w:rPr>
              <w:t>plmn-IdentityInfoList               PLMN-IdentityInfoList,</w:t>
            </w:r>
          </w:p>
          <w:p>
            <w:pPr>
              <w:pStyle w:val="73"/>
              <w:ind w:left="1200" w:hanging="400"/>
            </w:pPr>
            <w:r>
              <w:t xml:space="preserve">    cellReservedForOtherUse             ENUMERATED {true}             OPTIONAL,   -- Need R</w:t>
            </w:r>
          </w:p>
          <w:p>
            <w:pPr>
              <w:pStyle w:val="73"/>
              <w:ind w:left="1200" w:hanging="400"/>
            </w:pPr>
            <w:r>
              <w:t xml:space="preserve">    ...,</w:t>
            </w:r>
          </w:p>
          <w:p>
            <w:pPr>
              <w:pStyle w:val="73"/>
              <w:ind w:left="1200" w:hanging="400"/>
            </w:pPr>
            <w:r>
              <w:t xml:space="preserve">    [[</w:t>
            </w:r>
          </w:p>
          <w:p>
            <w:pPr>
              <w:pStyle w:val="73"/>
              <w:ind w:left="1200" w:hanging="400"/>
            </w:pPr>
            <w:r>
              <w:t xml:space="preserve">    cellReservedForFutureUse-r16        ENUMERATED {true}             OPTIONAL,   -- Need R</w:t>
            </w:r>
          </w:p>
          <w:p>
            <w:pPr>
              <w:pStyle w:val="73"/>
              <w:ind w:left="1200" w:hanging="400"/>
            </w:pPr>
            <w:r>
              <w:t xml:space="preserve">    npn-IdentityInfoList-r16            NPN-IdentityInfoList-r16      OPTIONAL    -- Need R</w:t>
            </w:r>
          </w:p>
          <w:p>
            <w:pPr>
              <w:pStyle w:val="73"/>
              <w:ind w:left="1200" w:hanging="400"/>
            </w:pPr>
            <w:r>
              <w:t xml:space="preserve">    ]]</w:t>
            </w:r>
          </w:p>
          <w:p>
            <w:pPr>
              <w:pStyle w:val="73"/>
              <w:ind w:left="1200" w:hanging="400"/>
            </w:pPr>
            <w:r>
              <w:t>}</w:t>
            </w:r>
          </w:p>
          <w:p>
            <w:pPr>
              <w:pStyle w:val="73"/>
              <w:ind w:left="1200" w:hanging="400"/>
              <w:rPr>
                <w:lang w:eastAsia="en-GB"/>
              </w:rPr>
            </w:pPr>
            <w:r>
              <w:rPr>
                <w:highlight w:val="yellow"/>
              </w:rPr>
              <w:t>PLMN-IdentityInfoList</w:t>
            </w:r>
            <w:r>
              <w:t xml:space="preserve"> ::=               SEQUENCE (SIZE (1..maxPLMN)) OF PLMN-IdentityInfo</w:t>
            </w:r>
          </w:p>
          <w:p>
            <w:pPr>
              <w:pStyle w:val="73"/>
              <w:ind w:left="1200" w:hanging="400"/>
            </w:pPr>
          </w:p>
          <w:p>
            <w:pPr>
              <w:pStyle w:val="73"/>
              <w:ind w:left="1200" w:hanging="400"/>
            </w:pPr>
            <w:r>
              <w:t>PLMN-IdentityInfo ::=                   SEQUENCE {</w:t>
            </w:r>
          </w:p>
          <w:p>
            <w:pPr>
              <w:pStyle w:val="73"/>
              <w:ind w:left="1200" w:hanging="400"/>
            </w:pPr>
            <w:r>
              <w:t xml:space="preserve">    </w:t>
            </w:r>
            <w:r>
              <w:rPr>
                <w:highlight w:val="yellow"/>
              </w:rPr>
              <w:t>plmn-IdentityList</w:t>
            </w:r>
            <w:r>
              <w:t xml:space="preserve">                       SEQUENCE (SIZE (1..maxPLMN)) OF PLMN-Identity,</w:t>
            </w:r>
          </w:p>
          <w:p>
            <w:pPr>
              <w:pStyle w:val="73"/>
              <w:ind w:left="1200" w:hanging="400"/>
            </w:pPr>
            <w:r>
              <w:t xml:space="preserve">    trackingAreaCode                        TrackingAreaCode                                            OPTIONAL,       -- Need R</w:t>
            </w:r>
          </w:p>
          <w:p>
            <w:pPr>
              <w:pStyle w:val="73"/>
              <w:ind w:left="1200" w:hanging="400"/>
            </w:pPr>
            <w:r>
              <w:t xml:space="preserve">    ranac                                   RAN-AreaCode                                                OPTIONAL,       -- Need R</w:t>
            </w:r>
          </w:p>
          <w:p>
            <w:pPr>
              <w:pStyle w:val="73"/>
              <w:ind w:left="1200" w:hanging="400"/>
            </w:pPr>
            <w:r>
              <w:t xml:space="preserve">    </w:t>
            </w:r>
            <w:r>
              <w:rPr>
                <w:highlight w:val="yellow"/>
              </w:rPr>
              <w:t>cellIdentity</w:t>
            </w:r>
            <w:r>
              <w:t xml:space="preserve">                            CellIdentity,</w:t>
            </w:r>
          </w:p>
          <w:p>
            <w:pPr>
              <w:pStyle w:val="73"/>
              <w:ind w:left="1200" w:hanging="400"/>
            </w:pPr>
            <w:r>
              <w:t xml:space="preserve">    cellReservedForOperatorUse              ENUMERATED {reserved, notReserved},</w:t>
            </w:r>
          </w:p>
          <w:p>
            <w:pPr>
              <w:pStyle w:val="73"/>
              <w:ind w:left="1200" w:hanging="400"/>
            </w:pPr>
            <w:r>
              <w:t xml:space="preserve">    ...,</w:t>
            </w:r>
          </w:p>
          <w:p>
            <w:pPr>
              <w:pStyle w:val="73"/>
              <w:ind w:left="1200" w:hanging="400"/>
            </w:pPr>
            <w:r>
              <w:t xml:space="preserve">    [[</w:t>
            </w:r>
          </w:p>
          <w:p>
            <w:pPr>
              <w:pStyle w:val="73"/>
              <w:ind w:left="1200" w:hanging="400"/>
            </w:pPr>
            <w:r>
              <w:t xml:space="preserve">    iab-Support-r16                     ENUMERATED {true}                                               OPTIONAL       -- Need S</w:t>
            </w:r>
          </w:p>
          <w:p>
            <w:pPr>
              <w:pStyle w:val="73"/>
              <w:ind w:left="1200" w:hanging="400"/>
            </w:pPr>
            <w:r>
              <w:t xml:space="preserve">    ]]</w:t>
            </w:r>
          </w:p>
          <w:p>
            <w:pPr>
              <w:pStyle w:val="73"/>
              <w:ind w:left="1200" w:hanging="400"/>
            </w:pPr>
            <w:r>
              <w:t>}</w:t>
            </w:r>
          </w:p>
        </w:tc>
      </w:tr>
    </w:tbl>
    <w:p>
      <w:pPr>
        <w:jc w:val="both"/>
      </w:pPr>
      <w:r>
        <w:rPr>
          <w:rFonts w:eastAsiaTheme="minorEastAsia"/>
          <w:lang w:val="en-GB" w:eastAsia="zh-CN"/>
        </w:rPr>
        <w:t xml:space="preserve">Another option is that we directly put the PLMN ID list in discovery message (not in form of RRC container), which can be in </w:t>
      </w:r>
      <w:r>
        <w:t>Discovery Additional Information,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rPr>
                <w:rFonts w:eastAsiaTheme="minorEastAsia"/>
                <w:lang w:val="en-GB" w:eastAsia="zh-CN"/>
              </w:rPr>
            </w:pPr>
            <w:r>
              <w:rPr>
                <w:rFonts w:eastAsiaTheme="minorEastAsia"/>
                <w:highlight w:val="yellow"/>
                <w:lang w:val="en-GB" w:eastAsia="zh-CN"/>
              </w:rPr>
              <w:t>CT1 TS 24.554-100</w:t>
            </w:r>
          </w:p>
          <w:p>
            <w:pPr>
              <w:rPr>
                <w:rFonts w:eastAsiaTheme="minorEastAsia"/>
                <w:lang w:val="en-GB" w:eastAsia="zh-CN"/>
              </w:rPr>
            </w:pPr>
            <w:r>
              <w:rPr>
                <w:lang w:eastAsia="zh-CN"/>
              </w:rPr>
              <w:drawing>
                <wp:inline distT="0" distB="0" distL="0" distR="0">
                  <wp:extent cx="5759450" cy="26396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5759450" cy="2639695"/>
                          </a:xfrm>
                          <a:prstGeom prst="rect">
                            <a:avLst/>
                          </a:prstGeom>
                        </pic:spPr>
                      </pic:pic>
                    </a:graphicData>
                  </a:graphic>
                </wp:inline>
              </w:drawing>
            </w:r>
          </w:p>
        </w:tc>
      </w:tr>
    </w:tbl>
    <w:p>
      <w:pPr>
        <w:jc w:val="both"/>
        <w:rPr>
          <w:rFonts w:eastAsiaTheme="minorEastAsia"/>
          <w:lang w:eastAsia="zh-CN"/>
        </w:rPr>
      </w:pPr>
      <w:r>
        <w:rPr>
          <w:rFonts w:eastAsiaTheme="minorEastAsia"/>
          <w:lang w:val="en-GB" w:eastAsia="zh-CN"/>
        </w:rPr>
        <w:t>It can be observed that the cell ID (NCGI) is already put into discovery message, as well as Relay TAI which is also AS information.</w:t>
      </w:r>
    </w:p>
    <w:p>
      <w:pPr>
        <w:jc w:val="both"/>
        <w:rPr>
          <w:rFonts w:eastAsiaTheme="minorEastAsia"/>
          <w:lang w:eastAsia="zh-CN"/>
        </w:rPr>
      </w:pPr>
      <w:r>
        <w:rPr>
          <w:rFonts w:eastAsiaTheme="minorEastAsia"/>
          <w:lang w:val="en-GB" w:eastAsia="zh-CN"/>
        </w:rPr>
        <w:t>On one hand, the PLMN ID is used for PLMN selection which is not handle by AS layer, and including the PLMN ID list in RRC container would result in unnecessary interactions between different layers; On the other hand, if we put the PLMN ID list and Cell ID list directly into discovery message, further coordination between WGs is needed for CT1 and RAN2. Therefore, we have the following observation and proposal:</w:t>
      </w:r>
    </w:p>
    <w:p>
      <w:pPr>
        <w:pStyle w:val="14"/>
        <w:jc w:val="both"/>
        <w:rPr>
          <w:rFonts w:eastAsiaTheme="minorEastAsia"/>
          <w:b/>
          <w:lang w:eastAsia="zh-CN"/>
        </w:rPr>
      </w:pPr>
      <w:bookmarkStart w:id="35" w:name="_Ref92804810"/>
      <w:r>
        <w:rPr>
          <w:b/>
        </w:rPr>
        <w:t xml:space="preserve">Observation </w:t>
      </w:r>
      <w:r>
        <w:rPr>
          <w:b/>
        </w:rPr>
        <w:fldChar w:fldCharType="begin"/>
      </w:r>
      <w:r>
        <w:rPr>
          <w:b/>
        </w:rPr>
        <w:instrText xml:space="preserve"> SEQ Observation \* ARABIC </w:instrText>
      </w:r>
      <w:r>
        <w:rPr>
          <w:b/>
        </w:rPr>
        <w:fldChar w:fldCharType="separate"/>
      </w:r>
      <w:r>
        <w:rPr>
          <w:b/>
        </w:rPr>
        <w:t>6</w:t>
      </w:r>
      <w:r>
        <w:rPr>
          <w:b/>
        </w:rPr>
        <w:fldChar w:fldCharType="end"/>
      </w:r>
      <w:r>
        <w:rPr>
          <w:b/>
        </w:rPr>
        <w:t>: T</w:t>
      </w:r>
      <w:r>
        <w:rPr>
          <w:rFonts w:eastAsiaTheme="minorEastAsia"/>
          <w:b/>
          <w:lang w:eastAsia="zh-CN"/>
        </w:rPr>
        <w:t>he PLMN ID is used for PLMN selection which is not handle by AS layer, and including the PLMN ID list in RRC container would result in unnecessary interactions between different layers.</w:t>
      </w:r>
      <w:bookmarkEnd w:id="35"/>
    </w:p>
    <w:p>
      <w:pPr>
        <w:pStyle w:val="14"/>
        <w:jc w:val="both"/>
        <w:rPr>
          <w:rFonts w:eastAsiaTheme="minorEastAsia"/>
          <w:b/>
          <w:lang w:eastAsia="zh-CN"/>
        </w:rPr>
      </w:pPr>
      <w:bookmarkStart w:id="36" w:name="_Ref92804811"/>
      <w:r>
        <w:rPr>
          <w:b/>
        </w:rPr>
        <w:t xml:space="preserve">Observation </w:t>
      </w:r>
      <w:r>
        <w:rPr>
          <w:b/>
        </w:rPr>
        <w:fldChar w:fldCharType="begin"/>
      </w:r>
      <w:r>
        <w:rPr>
          <w:b/>
        </w:rPr>
        <w:instrText xml:space="preserve"> SEQ Observation \* ARABIC </w:instrText>
      </w:r>
      <w:r>
        <w:rPr>
          <w:b/>
        </w:rPr>
        <w:fldChar w:fldCharType="separate"/>
      </w:r>
      <w:r>
        <w:rPr>
          <w:b/>
        </w:rPr>
        <w:t>7</w:t>
      </w:r>
      <w:r>
        <w:rPr>
          <w:b/>
        </w:rPr>
        <w:fldChar w:fldCharType="end"/>
      </w:r>
      <w:r>
        <w:rPr>
          <w:b/>
        </w:rPr>
        <w:t xml:space="preserve">: </w:t>
      </w:r>
      <w:r>
        <w:rPr>
          <w:rFonts w:eastAsiaTheme="minorEastAsia"/>
          <w:b/>
          <w:lang w:eastAsia="zh-CN"/>
        </w:rPr>
        <w:t>If the PLMN ID list is directly put into discovery message, further coordination between WGs is needed for CT1 and RAN2.</w:t>
      </w:r>
      <w:bookmarkEnd w:id="36"/>
    </w:p>
    <w:p>
      <w:pPr>
        <w:pStyle w:val="14"/>
        <w:jc w:val="both"/>
        <w:rPr>
          <w:b/>
        </w:rPr>
      </w:pPr>
      <w:bookmarkStart w:id="37" w:name="_Ref92804828"/>
      <w:bookmarkStart w:id="38" w:name="_Ref9280756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w:t>
      </w:r>
      <w:bookmarkEnd w:id="37"/>
      <w:bookmarkStart w:id="39" w:name="_Ref92804829"/>
      <w:r>
        <w:rPr>
          <w:b/>
        </w:rPr>
        <w:t xml:space="preserve"> RAN2 to discuss which option is preferred to include PLMN ID list in discovery message.</w:t>
      </w:r>
      <w:bookmarkEnd w:id="38"/>
      <w:bookmarkEnd w:id="39"/>
    </w:p>
    <w:p>
      <w:pPr>
        <w:jc w:val="both"/>
        <w:rPr>
          <w:b/>
        </w:rPr>
      </w:pPr>
      <w:r>
        <w:rPr>
          <w:b/>
          <w:lang w:val="en-GB"/>
        </w:rPr>
        <w:t xml:space="preserve">Option 1: an RRC container, which may reuse </w:t>
      </w:r>
      <w:r>
        <w:rPr>
          <w:b/>
          <w:i/>
        </w:rPr>
        <w:t xml:space="preserve">plmn-IdentityInfoList </w:t>
      </w:r>
      <w:r>
        <w:rPr>
          <w:b/>
        </w:rPr>
        <w:t xml:space="preserve">included in </w:t>
      </w:r>
      <w:r>
        <w:rPr>
          <w:b/>
          <w:i/>
        </w:rPr>
        <w:t>cellAccessRelatedInfo</w:t>
      </w:r>
      <w:r>
        <w:rPr>
          <w:b/>
        </w:rPr>
        <w:t>;</w:t>
      </w:r>
    </w:p>
    <w:p>
      <w:pPr>
        <w:jc w:val="both"/>
        <w:rPr>
          <w:b/>
        </w:rPr>
      </w:pPr>
      <w:r>
        <w:rPr>
          <w:b/>
        </w:rPr>
        <w:t>Option 2: an additional IE explicitly included in Relay Discovery Additional Information.</w:t>
      </w:r>
    </w:p>
    <w:p>
      <w:pPr>
        <w:pStyle w:val="14"/>
        <w:jc w:val="both"/>
        <w:rPr>
          <w:b/>
        </w:rPr>
      </w:pPr>
      <w:bookmarkStart w:id="40" w:name="_Ref92807563"/>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Send an LS to SA2, if any option is agreed in Proposal 9.</w:t>
      </w:r>
      <w:bookmarkEnd w:id="40"/>
    </w:p>
    <w:bookmarkEnd w:id="30"/>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bookmarkEnd w:id="5"/>
    <w:bookmarkEnd w:id="6"/>
    <w:p>
      <w:pPr>
        <w:pStyle w:val="13"/>
        <w:ind w:left="0"/>
        <w:rPr>
          <w:bCs/>
          <w:sz w:val="20"/>
          <w:szCs w:val="20"/>
        </w:rPr>
      </w:pPr>
      <w:r>
        <w:rPr>
          <w:bCs/>
          <w:sz w:val="20"/>
          <w:szCs w:val="20"/>
        </w:rPr>
        <w:t>We have the following observation and proposals:</w:t>
      </w:r>
    </w:p>
    <w:p>
      <w:pPr>
        <w:pStyle w:val="13"/>
        <w:ind w:left="0"/>
        <w:rPr>
          <w:b/>
        </w:rPr>
      </w:pPr>
      <w:r>
        <w:rPr>
          <w:b/>
        </w:rPr>
        <w:fldChar w:fldCharType="begin"/>
      </w:r>
      <w:r>
        <w:rPr>
          <w:b/>
        </w:rPr>
        <w:instrText xml:space="preserve"> REF _Ref92804805 \h </w:instrText>
      </w:r>
      <w:r>
        <w:rPr>
          <w:b/>
        </w:rPr>
        <w:fldChar w:fldCharType="separate"/>
      </w:r>
    </w:p>
    <w:p>
      <w:pPr>
        <w:pStyle w:val="13"/>
        <w:ind w:left="0"/>
        <w:rPr>
          <w:b/>
        </w:rPr>
      </w:pPr>
      <w:r>
        <w:rPr>
          <w:b/>
        </w:rPr>
        <w:t xml:space="preserve">Observation 1: </w:t>
      </w:r>
      <w:r>
        <w:rPr>
          <w:rFonts w:eastAsia="Times New Roman"/>
          <w:b/>
          <w:lang w:eastAsia="en-US"/>
        </w:rPr>
        <w:t xml:space="preserve">The reasonable assumption </w:t>
      </w:r>
      <w:r>
        <w:rPr>
          <w:b/>
        </w:rPr>
        <w:t>should be</w:t>
      </w:r>
      <w:r>
        <w:rPr>
          <w:rFonts w:eastAsia="Times New Roman"/>
          <w:b/>
          <w:lang w:eastAsia="en-US"/>
        </w:rPr>
        <w:t xml:space="preserve"> that the dedicated resource pool </w:t>
      </w:r>
      <w:r>
        <w:rPr>
          <w:b/>
        </w:rPr>
        <w:t>for discovery is less possible to be con</w:t>
      </w:r>
      <w:bookmarkStart w:id="46" w:name="_GoBack"/>
      <w:bookmarkEnd w:id="46"/>
      <w:r>
        <w:rPr>
          <w:b/>
        </w:rPr>
        <w:t xml:space="preserve">gested compared to </w:t>
      </w:r>
      <w:r>
        <w:rPr>
          <w:rFonts w:eastAsia="Times New Roman"/>
          <w:b/>
          <w:lang w:eastAsia="en-US"/>
        </w:rPr>
        <w:t xml:space="preserve">shared resource pool </w:t>
      </w:r>
      <w:r>
        <w:rPr>
          <w:b/>
        </w:rPr>
        <w:t xml:space="preserve">for communication data transmission, </w:t>
      </w:r>
      <w:r>
        <w:rPr>
          <w:rFonts w:eastAsia="Times New Roman"/>
          <w:b/>
          <w:lang w:eastAsia="en-US"/>
        </w:rPr>
        <w:t>with proper configurations</w:t>
      </w:r>
      <w:r>
        <w:rPr>
          <w:b/>
        </w:rPr>
        <w:t xml:space="preserve"> from the network</w:t>
      </w:r>
      <w:r>
        <w:rPr>
          <w:rFonts w:eastAsia="Times New Roman"/>
          <w:b/>
          <w:lang w:eastAsia="en-US"/>
        </w:rPr>
        <w:t>.</w:t>
      </w:r>
      <w:r>
        <w:rPr>
          <w:b/>
        </w:rPr>
        <w:fldChar w:fldCharType="end"/>
      </w:r>
      <w:r>
        <w:rPr>
          <w:b/>
        </w:rPr>
        <w:fldChar w:fldCharType="begin"/>
      </w:r>
      <w:r>
        <w:rPr>
          <w:b/>
        </w:rPr>
        <w:instrText xml:space="preserve"> REF _Ref92804806 \h </w:instrText>
      </w:r>
      <w:r>
        <w:rPr>
          <w:b/>
        </w:rPr>
        <w:fldChar w:fldCharType="separate"/>
      </w:r>
    </w:p>
    <w:p>
      <w:pPr>
        <w:pStyle w:val="13"/>
        <w:ind w:left="0"/>
        <w:rPr>
          <w:b/>
        </w:rPr>
      </w:pPr>
      <w:r>
        <w:rPr>
          <w:b/>
        </w:rPr>
        <w:t xml:space="preserve">Observation 2: </w:t>
      </w:r>
      <w:r>
        <w:rPr>
          <w:rFonts w:eastAsia="Times New Roman"/>
          <w:b/>
          <w:lang w:eastAsia="en-US"/>
        </w:rPr>
        <w:t>If dedicated resource pool is congested due to the high load of discovery message transmission,</w:t>
      </w:r>
      <w:r>
        <w:rPr>
          <w:b/>
        </w:rPr>
        <w:t xml:space="preserve"> </w:t>
      </w:r>
      <w:r>
        <w:rPr>
          <w:rFonts w:eastAsia="Times New Roman"/>
          <w:b/>
          <w:lang w:eastAsia="en-US"/>
        </w:rPr>
        <w:t>the TX shared resource pool should be</w:t>
      </w:r>
      <w:r>
        <w:rPr>
          <w:b/>
        </w:rPr>
        <w:t xml:space="preserve"> probably</w:t>
      </w:r>
      <w:r>
        <w:rPr>
          <w:rFonts w:eastAsia="Times New Roman"/>
          <w:b/>
          <w:lang w:eastAsia="en-US"/>
        </w:rPr>
        <w:t xml:space="preserve"> of even higher congestion level.</w:t>
      </w:r>
      <w:r>
        <w:rPr>
          <w:b/>
        </w:rPr>
        <w:fldChar w:fldCharType="end"/>
      </w:r>
      <w:r>
        <w:rPr>
          <w:b/>
        </w:rPr>
        <w:fldChar w:fldCharType="begin"/>
      </w:r>
      <w:r>
        <w:rPr>
          <w:b/>
        </w:rPr>
        <w:instrText xml:space="preserve"> REF _Ref79003394 \h </w:instrText>
      </w:r>
      <w:r>
        <w:rPr>
          <w:b/>
        </w:rPr>
        <w:fldChar w:fldCharType="separate"/>
      </w:r>
    </w:p>
    <w:p>
      <w:pPr>
        <w:pStyle w:val="13"/>
        <w:ind w:left="0"/>
        <w:rPr>
          <w:b/>
        </w:rPr>
      </w:pPr>
      <w:r>
        <w:rPr>
          <w:b/>
        </w:rPr>
        <w:t xml:space="preserve">Observation 3: It is unclear whether/how the configuration of </w:t>
      </w:r>
      <w:r>
        <w:rPr>
          <w:b/>
          <w:i/>
        </w:rPr>
        <w:t>SL-CBR-PriorityTxConfigList</w:t>
      </w:r>
      <w:r>
        <w:rPr>
          <w:b/>
        </w:rPr>
        <w:t xml:space="preserve"> is applied to discovery message in both dedicated pool and shared pool respectively.</w:t>
      </w:r>
      <w:r>
        <w:rPr>
          <w:b/>
        </w:rPr>
        <w:fldChar w:fldCharType="end"/>
      </w:r>
      <w:r>
        <w:rPr>
          <w:b/>
        </w:rPr>
        <w:fldChar w:fldCharType="begin"/>
      </w:r>
      <w:r>
        <w:rPr>
          <w:b/>
        </w:rPr>
        <w:instrText xml:space="preserve"> REF _Ref92804808 \h </w:instrText>
      </w:r>
      <w:r>
        <w:rPr>
          <w:b/>
        </w:rPr>
        <w:fldChar w:fldCharType="separate"/>
      </w:r>
    </w:p>
    <w:p>
      <w:pPr>
        <w:pStyle w:val="13"/>
        <w:ind w:left="0"/>
        <w:rPr>
          <w:b/>
        </w:rPr>
      </w:pPr>
      <w:r>
        <w:rPr>
          <w:b/>
        </w:rPr>
        <w:t>Observation 4: I</w:t>
      </w:r>
      <w:r>
        <w:rPr>
          <w:rFonts w:hint="eastAsia"/>
          <w:b/>
        </w:rPr>
        <w:t xml:space="preserve">f NR access is shared, in </w:t>
      </w:r>
      <w:r>
        <w:rPr>
          <w:b/>
        </w:rPr>
        <w:t>each</w:t>
      </w:r>
      <w:r>
        <w:rPr>
          <w:rFonts w:hint="eastAsia"/>
          <w:b/>
        </w:rPr>
        <w:t xml:space="preserve"> shared cell </w:t>
      </w:r>
      <w:r>
        <w:rPr>
          <w:b/>
        </w:rPr>
        <w:t>the gNB</w:t>
      </w:r>
      <w:r>
        <w:rPr>
          <w:rFonts w:hint="eastAsia"/>
          <w:b/>
        </w:rPr>
        <w:t xml:space="preserve"> broadcast</w:t>
      </w:r>
      <w:r>
        <w:rPr>
          <w:b/>
        </w:rPr>
        <w:t>s</w:t>
      </w:r>
      <w:r>
        <w:rPr>
          <w:rFonts w:hint="eastAsia"/>
          <w:b/>
        </w:rPr>
        <w:t xml:space="preserve"> </w:t>
      </w:r>
      <w:r>
        <w:rPr>
          <w:b/>
        </w:rPr>
        <w:t>respective</w:t>
      </w:r>
      <w:r>
        <w:rPr>
          <w:rFonts w:hint="eastAsia"/>
          <w:b/>
        </w:rPr>
        <w:t xml:space="preserve"> Cell Identity for each subset of PLMNs, PNI-NPNs and SNPNs.</w:t>
      </w:r>
      <w:r>
        <w:rPr>
          <w:b/>
        </w:rPr>
        <w:fldChar w:fldCharType="end"/>
      </w:r>
      <w:r>
        <w:rPr>
          <w:b/>
        </w:rPr>
        <w:fldChar w:fldCharType="begin"/>
      </w:r>
      <w:r>
        <w:rPr>
          <w:b/>
        </w:rPr>
        <w:instrText xml:space="preserve"> REF _Ref92804809 \h </w:instrText>
      </w:r>
      <w:r>
        <w:rPr>
          <w:b/>
        </w:rPr>
        <w:fldChar w:fldCharType="separate"/>
      </w:r>
    </w:p>
    <w:p>
      <w:pPr>
        <w:pStyle w:val="13"/>
        <w:ind w:left="0"/>
        <w:rPr>
          <w:b/>
        </w:rPr>
      </w:pPr>
      <w:r>
        <w:rPr>
          <w:b/>
        </w:rPr>
        <w:t>Observation 5: if the discovery message is too large to be transmitted in one transmission due to RAN sharing, RLC can segment the discovery message into multiple transmissions</w:t>
      </w:r>
      <w:r>
        <w:rPr>
          <w:rFonts w:hint="eastAsia"/>
          <w:b/>
        </w:rPr>
        <w:t>.</w:t>
      </w:r>
      <w:r>
        <w:rPr>
          <w:b/>
        </w:rPr>
        <w:fldChar w:fldCharType="end"/>
      </w:r>
      <w:r>
        <w:rPr>
          <w:b/>
        </w:rPr>
        <w:fldChar w:fldCharType="begin"/>
      </w:r>
      <w:r>
        <w:rPr>
          <w:b/>
        </w:rPr>
        <w:instrText xml:space="preserve"> REF _Ref92804810 \h </w:instrText>
      </w:r>
      <w:r>
        <w:rPr>
          <w:b/>
        </w:rPr>
        <w:fldChar w:fldCharType="separate"/>
      </w:r>
    </w:p>
    <w:p>
      <w:pPr>
        <w:pStyle w:val="13"/>
        <w:ind w:left="0"/>
        <w:rPr>
          <w:b/>
        </w:rPr>
      </w:pPr>
      <w:r>
        <w:rPr>
          <w:b/>
        </w:rPr>
        <w:t>Observation 6: T</w:t>
      </w:r>
      <w:r>
        <w:rPr>
          <w:rFonts w:eastAsiaTheme="minorEastAsia"/>
          <w:b/>
          <w:lang w:val="en-GB"/>
        </w:rPr>
        <w:t>he PLMN ID is used for PLMN selection which is not handle by AS layer, and including the PLMN ID list in RRC container would result in unnecessary interactions between different layers</w:t>
      </w:r>
      <w:r>
        <w:rPr>
          <w:rFonts w:eastAsiaTheme="minorEastAsia"/>
          <w:b/>
        </w:rPr>
        <w:t>.</w:t>
      </w:r>
      <w:r>
        <w:rPr>
          <w:b/>
        </w:rPr>
        <w:fldChar w:fldCharType="end"/>
      </w:r>
      <w:r>
        <w:rPr>
          <w:b/>
        </w:rPr>
        <w:fldChar w:fldCharType="begin"/>
      </w:r>
      <w:r>
        <w:rPr>
          <w:b/>
        </w:rPr>
        <w:instrText xml:space="preserve"> REF _Ref92804811 \h </w:instrText>
      </w:r>
      <w:r>
        <w:rPr>
          <w:b/>
        </w:rPr>
        <w:fldChar w:fldCharType="separate"/>
      </w:r>
    </w:p>
    <w:p>
      <w:pPr>
        <w:pStyle w:val="13"/>
        <w:ind w:left="0"/>
        <w:rPr>
          <w:b/>
        </w:rPr>
      </w:pPr>
      <w:r>
        <w:rPr>
          <w:b/>
        </w:rPr>
        <w:t xml:space="preserve">Observation 7: </w:t>
      </w:r>
      <w:r>
        <w:rPr>
          <w:rFonts w:eastAsiaTheme="minorEastAsia"/>
          <w:b/>
        </w:rPr>
        <w:t>I</w:t>
      </w:r>
      <w:r>
        <w:rPr>
          <w:rFonts w:eastAsiaTheme="minorEastAsia"/>
          <w:b/>
          <w:lang w:val="en-GB"/>
        </w:rPr>
        <w:t xml:space="preserve">f </w:t>
      </w:r>
      <w:r>
        <w:rPr>
          <w:rFonts w:eastAsiaTheme="minorEastAsia"/>
          <w:b/>
        </w:rPr>
        <w:t xml:space="preserve">the </w:t>
      </w:r>
      <w:r>
        <w:rPr>
          <w:rFonts w:eastAsiaTheme="minorEastAsia"/>
          <w:b/>
          <w:lang w:val="en-GB"/>
        </w:rPr>
        <w:t xml:space="preserve">PLMN ID list and Cell ID list </w:t>
      </w:r>
      <w:r>
        <w:rPr>
          <w:rFonts w:eastAsiaTheme="minorEastAsia"/>
          <w:b/>
        </w:rPr>
        <w:t xml:space="preserve">are </w:t>
      </w:r>
      <w:r>
        <w:rPr>
          <w:rFonts w:eastAsiaTheme="minorEastAsia"/>
          <w:b/>
          <w:lang w:val="en-GB"/>
        </w:rPr>
        <w:t>directly</w:t>
      </w:r>
      <w:r>
        <w:rPr>
          <w:rFonts w:eastAsiaTheme="minorEastAsia"/>
          <w:b/>
        </w:rPr>
        <w:t xml:space="preserve"> put</w:t>
      </w:r>
      <w:r>
        <w:rPr>
          <w:rFonts w:eastAsiaTheme="minorEastAsia"/>
          <w:b/>
          <w:lang w:val="en-GB"/>
        </w:rPr>
        <w:t xml:space="preserve"> into discovery message, further coordination between WGs is needed for CT1 and RAN2.</w:t>
      </w:r>
      <w:r>
        <w:rPr>
          <w:b/>
        </w:rPr>
        <w:fldChar w:fldCharType="end"/>
      </w:r>
    </w:p>
    <w:p>
      <w:pPr>
        <w:pStyle w:val="13"/>
        <w:ind w:left="0"/>
        <w:rPr>
          <w:b/>
        </w:rPr>
      </w:pPr>
      <w:r>
        <w:rPr>
          <w:b/>
        </w:rPr>
        <w:fldChar w:fldCharType="begin"/>
      </w:r>
      <w:r>
        <w:rPr>
          <w:b/>
        </w:rPr>
        <w:instrText xml:space="preserve"> REF _Ref79003422 \h </w:instrText>
      </w:r>
      <w:r>
        <w:rPr>
          <w:b/>
        </w:rPr>
        <w:fldChar w:fldCharType="separate"/>
      </w:r>
    </w:p>
    <w:p>
      <w:pPr>
        <w:pStyle w:val="13"/>
        <w:ind w:left="0"/>
        <w:rPr>
          <w:b/>
        </w:rPr>
      </w:pPr>
      <w:r>
        <w:rPr>
          <w:b/>
        </w:rPr>
        <w:t xml:space="preserve">Proposal 1: RAN2 confirms that data is not allowed to be </w:t>
      </w:r>
      <w:r>
        <w:rPr>
          <w:rFonts w:eastAsiaTheme="minorEastAsia"/>
          <w:b/>
        </w:rPr>
        <w:t>transmitted in dedicated resource pool for discovery.</w:t>
      </w:r>
      <w:r>
        <w:rPr>
          <w:b/>
        </w:rPr>
        <w:fldChar w:fldCharType="end"/>
      </w:r>
      <w:r>
        <w:rPr>
          <w:b/>
        </w:rPr>
        <w:fldChar w:fldCharType="begin"/>
      </w:r>
      <w:r>
        <w:rPr>
          <w:b/>
        </w:rPr>
        <w:instrText xml:space="preserve"> REF _Ref92804817 \h </w:instrText>
      </w:r>
      <w:r>
        <w:rPr>
          <w:b/>
        </w:rPr>
        <w:fldChar w:fldCharType="separate"/>
      </w:r>
    </w:p>
    <w:p>
      <w:pPr>
        <w:pStyle w:val="13"/>
        <w:ind w:left="0"/>
        <w:rPr>
          <w:b/>
        </w:rPr>
      </w:pPr>
      <w:r>
        <w:rPr>
          <w:b/>
        </w:rPr>
        <w:t xml:space="preserve">Proposal 2: </w:t>
      </w:r>
      <w:r>
        <w:rPr>
          <w:rFonts w:eastAsia="Times New Roman"/>
          <w:b/>
        </w:rPr>
        <w:t xml:space="preserve">For </w:t>
      </w:r>
      <w:r>
        <w:rPr>
          <w:rFonts w:eastAsia="Times New Roman"/>
          <w:b/>
          <w:lang w:eastAsia="en-US"/>
        </w:rPr>
        <w:t>mo</w:t>
      </w:r>
      <w:r>
        <w:rPr>
          <w:rFonts w:eastAsia="Times New Roman"/>
          <w:b/>
        </w:rPr>
        <w:t>de 2, when both dedicated resource pool and shared resource pool are configured</w:t>
      </w:r>
      <w:r>
        <w:rPr>
          <w:b/>
        </w:rPr>
        <w:t xml:space="preserve"> simultaneously,</w:t>
      </w:r>
      <w:r>
        <w:rPr>
          <w:rFonts w:eastAsia="Times New Roman"/>
          <w:b/>
        </w:rPr>
        <w:t xml:space="preserve"> only dedicated resource pool </w:t>
      </w:r>
      <w:r>
        <w:rPr>
          <w:b/>
        </w:rPr>
        <w:t>is</w:t>
      </w:r>
      <w:r>
        <w:rPr>
          <w:rFonts w:eastAsia="Times New Roman"/>
          <w:b/>
        </w:rPr>
        <w:t xml:space="preserve"> used for discovery message transmission, i.e. </w:t>
      </w:r>
      <w:r>
        <w:rPr>
          <w:b/>
        </w:rPr>
        <w:t>conditional selection between dedicated resource pool and shared resource pool</w:t>
      </w:r>
      <w:r>
        <w:rPr>
          <w:rFonts w:eastAsia="Times New Roman"/>
          <w:b/>
        </w:rPr>
        <w:t xml:space="preserve"> </w:t>
      </w:r>
      <w:r>
        <w:rPr>
          <w:b/>
        </w:rPr>
        <w:t>is not</w:t>
      </w:r>
      <w:r>
        <w:rPr>
          <w:rFonts w:eastAsia="Times New Roman"/>
          <w:b/>
        </w:rPr>
        <w:t xml:space="preserve"> supported.</w:t>
      </w:r>
      <w:r>
        <w:rPr>
          <w:b/>
        </w:rPr>
        <w:fldChar w:fldCharType="end"/>
      </w:r>
    </w:p>
    <w:p>
      <w:pPr>
        <w:pStyle w:val="13"/>
        <w:ind w:left="0"/>
        <w:rPr>
          <w:b/>
        </w:rPr>
      </w:pPr>
      <w:r>
        <w:rPr>
          <w:b/>
        </w:rPr>
        <w:fldChar w:fldCharType="begin"/>
      </w:r>
      <w:r>
        <w:rPr>
          <w:b/>
        </w:rPr>
        <w:instrText xml:space="preserve"> REF _Ref92804818 \h </w:instrText>
      </w:r>
      <w:r>
        <w:rPr>
          <w:b/>
        </w:rPr>
        <w:fldChar w:fldCharType="separate"/>
      </w:r>
      <w:r>
        <w:rPr>
          <w:b/>
        </w:rPr>
        <w:t>Proposal 3:</w:t>
      </w:r>
      <w:r>
        <w:rPr>
          <w:rFonts w:cs="Arial"/>
          <w:b/>
        </w:rPr>
        <w:t xml:space="preserve"> If Proposal 2 is not agreeable, it should be left up to UE implementation on whether the discovery message is transmitted in dedicated resource pool or shared resource pool.</w:t>
      </w:r>
      <w:r>
        <w:rPr>
          <w:b/>
        </w:rPr>
        <w:fldChar w:fldCharType="end"/>
      </w:r>
      <w:r>
        <w:rPr>
          <w:b/>
        </w:rPr>
        <w:fldChar w:fldCharType="begin"/>
      </w:r>
      <w:r>
        <w:rPr>
          <w:b/>
        </w:rPr>
        <w:instrText xml:space="preserve"> REF _Ref85796318 \h </w:instrText>
      </w:r>
      <w:r>
        <w:rPr>
          <w:b/>
        </w:rPr>
        <w:fldChar w:fldCharType="separate"/>
      </w:r>
    </w:p>
    <w:p>
      <w:pPr>
        <w:pStyle w:val="13"/>
        <w:ind w:left="0"/>
        <w:rPr>
          <w:b/>
        </w:rPr>
      </w:pPr>
      <w:r>
        <w:rPr>
          <w:b/>
        </w:rPr>
        <w:t>Proposal 4: No specific LCG ID is used to distinguish discovery message from communication data in SL BSR report.</w:t>
      </w:r>
      <w:r>
        <w:rPr>
          <w:b/>
        </w:rPr>
        <w:fldChar w:fldCharType="end"/>
      </w:r>
      <w:r>
        <w:rPr>
          <w:b/>
        </w:rPr>
        <w:fldChar w:fldCharType="begin"/>
      </w:r>
      <w:r>
        <w:rPr>
          <w:b/>
        </w:rPr>
        <w:instrText xml:space="preserve"> REF _Ref85796319 \h </w:instrText>
      </w:r>
      <w:r>
        <w:rPr>
          <w:b/>
        </w:rPr>
        <w:fldChar w:fldCharType="separate"/>
      </w:r>
    </w:p>
    <w:p>
      <w:pPr>
        <w:pStyle w:val="13"/>
        <w:ind w:left="0"/>
        <w:rPr>
          <w:b/>
        </w:rPr>
      </w:pPr>
      <w:r>
        <w:rPr>
          <w:b/>
        </w:rPr>
        <w:t>Proposal 5: In case the same L2 ID is used for communication data and discovery message buffer status report, this L2 ID can be assigned with two different destination indexes respectively for communication data and discovery message by the UE.</w:t>
      </w:r>
      <w:r>
        <w:rPr>
          <w:b/>
        </w:rPr>
        <w:fldChar w:fldCharType="end"/>
      </w:r>
      <w:r>
        <w:rPr>
          <w:b/>
        </w:rPr>
        <w:fldChar w:fldCharType="begin"/>
      </w:r>
      <w:r>
        <w:rPr>
          <w:b/>
        </w:rPr>
        <w:instrText xml:space="preserve"> REF _Ref79003432 \h </w:instrText>
      </w:r>
      <w:r>
        <w:rPr>
          <w:b/>
        </w:rPr>
        <w:fldChar w:fldCharType="separate"/>
      </w:r>
    </w:p>
    <w:p>
      <w:pPr>
        <w:pStyle w:val="13"/>
        <w:ind w:left="0"/>
        <w:rPr>
          <w:b/>
        </w:rPr>
      </w:pPr>
      <w:r>
        <w:rPr>
          <w:b/>
        </w:rPr>
        <w:t xml:space="preserve">Proposal 6: For shared pool, current </w:t>
      </w:r>
      <w:r>
        <w:rPr>
          <w:rFonts w:eastAsiaTheme="minorEastAsia"/>
          <w:b/>
          <w:i/>
        </w:rPr>
        <w:t xml:space="preserve">SL-CBR-PriorityTxConfigList </w:t>
      </w:r>
      <w:r>
        <w:rPr>
          <w:rFonts w:eastAsiaTheme="minorEastAsia"/>
          <w:b/>
        </w:rPr>
        <w:t xml:space="preserve">is applied to sidelink discovery message transmission with UE always setting </w:t>
      </w:r>
      <w:r>
        <w:rPr>
          <w:b/>
        </w:rPr>
        <w:t xml:space="preserve">the </w:t>
      </w:r>
      <w:r>
        <w:rPr>
          <w:b/>
          <w:i/>
        </w:rPr>
        <w:t xml:space="preserve">Priority </w:t>
      </w:r>
      <w:r>
        <w:rPr>
          <w:b/>
        </w:rPr>
        <w:t>to 1.</w:t>
      </w:r>
      <w:r>
        <w:rPr>
          <w:b/>
        </w:rPr>
        <w:fldChar w:fldCharType="end"/>
      </w:r>
      <w:r>
        <w:rPr>
          <w:b/>
        </w:rPr>
        <w:fldChar w:fldCharType="begin"/>
      </w:r>
      <w:r>
        <w:rPr>
          <w:b/>
        </w:rPr>
        <w:instrText xml:space="preserve"> REF _Ref92804824 \h </w:instrText>
      </w:r>
      <w:r>
        <w:rPr>
          <w:b/>
        </w:rPr>
        <w:fldChar w:fldCharType="separate"/>
      </w:r>
    </w:p>
    <w:p>
      <w:pPr>
        <w:pStyle w:val="13"/>
        <w:ind w:left="0"/>
        <w:rPr>
          <w:b/>
        </w:rPr>
      </w:pPr>
      <w:r>
        <w:rPr>
          <w:b/>
        </w:rPr>
        <w:t xml:space="preserve">Proposal 7: For dedicated pool for discovery, RAN2 to discuss whether/how </w:t>
      </w:r>
      <w:r>
        <w:rPr>
          <w:rFonts w:eastAsiaTheme="minorEastAsia"/>
          <w:b/>
        </w:rPr>
        <w:t>PSSCH transmission parameters</w:t>
      </w:r>
      <w:r>
        <w:rPr>
          <w:b/>
        </w:rPr>
        <w:t xml:space="preserve"> should be adjusted due to different CBR, considering following options:</w:t>
      </w:r>
      <w:r>
        <w:rPr>
          <w:b/>
        </w:rPr>
        <w:fldChar w:fldCharType="end"/>
      </w:r>
    </w:p>
    <w:p>
      <w:pPr>
        <w:pStyle w:val="61"/>
        <w:numPr>
          <w:ilvl w:val="0"/>
          <w:numId w:val="6"/>
        </w:numPr>
        <w:ind w:firstLineChars="0"/>
        <w:rPr>
          <w:b/>
        </w:rPr>
      </w:pPr>
      <w:r>
        <w:rPr>
          <w:rFonts w:ascii="Times New Roman" w:hAnsi="Times New Roman"/>
          <w:b/>
          <w:sz w:val="20"/>
          <w:szCs w:val="20"/>
          <w:lang w:val="en-GB"/>
        </w:rPr>
        <w:t xml:space="preserve">Option-1: use current </w:t>
      </w:r>
      <w:r>
        <w:rPr>
          <w:rFonts w:ascii="Times New Roman" w:hAnsi="Times New Roman"/>
          <w:b/>
          <w:i/>
          <w:iCs/>
          <w:sz w:val="20"/>
          <w:szCs w:val="20"/>
        </w:rPr>
        <w:t xml:space="preserve">SL-CBR-PriorityTxConfigList </w:t>
      </w:r>
      <w:r>
        <w:rPr>
          <w:rFonts w:ascii="Times New Roman" w:hAnsi="Times New Roman"/>
          <w:b/>
          <w:iCs/>
          <w:sz w:val="20"/>
          <w:szCs w:val="20"/>
        </w:rPr>
        <w:t xml:space="preserve">as in </w:t>
      </w:r>
      <w:r>
        <w:rPr>
          <w:rFonts w:hint="eastAsia" w:ascii="Times New Roman" w:hAnsi="Times New Roman"/>
          <w:b/>
          <w:iCs/>
          <w:sz w:val="20"/>
          <w:szCs w:val="20"/>
        </w:rPr>
        <w:t>P</w:t>
      </w:r>
      <w:r>
        <w:rPr>
          <w:rFonts w:ascii="Times New Roman" w:hAnsi="Times New Roman"/>
          <w:b/>
          <w:iCs/>
          <w:sz w:val="20"/>
          <w:szCs w:val="20"/>
        </w:rPr>
        <w:t>roposal 6.</w:t>
      </w:r>
    </w:p>
    <w:p>
      <w:pPr>
        <w:pStyle w:val="61"/>
        <w:numPr>
          <w:ilvl w:val="0"/>
          <w:numId w:val="6"/>
        </w:numPr>
        <w:ind w:firstLineChars="0"/>
        <w:rPr>
          <w:b/>
        </w:rPr>
      </w:pPr>
      <w:r>
        <w:rPr>
          <w:rFonts w:ascii="Times New Roman" w:hAnsi="Times New Roman"/>
          <w:b/>
          <w:sz w:val="20"/>
          <w:szCs w:val="20"/>
        </w:rPr>
        <w:t xml:space="preserve">Option-2: use current </w:t>
      </w:r>
      <w:r>
        <w:rPr>
          <w:rFonts w:ascii="Times New Roman" w:hAnsi="Times New Roman"/>
          <w:b/>
          <w:i/>
          <w:iCs/>
          <w:sz w:val="20"/>
          <w:szCs w:val="20"/>
        </w:rPr>
        <w:t xml:space="preserve">SL-CBR-CommonTxConfigList </w:t>
      </w:r>
      <w:r>
        <w:rPr>
          <w:rFonts w:ascii="Times New Roman" w:hAnsi="Times New Roman"/>
          <w:b/>
          <w:iCs/>
          <w:sz w:val="20"/>
          <w:szCs w:val="20"/>
        </w:rPr>
        <w:t>(i.e. w/o</w:t>
      </w:r>
      <w:r>
        <w:rPr>
          <w:rFonts w:ascii="Times New Roman" w:hAnsi="Times New Roman"/>
          <w:b/>
          <w:i/>
          <w:iCs/>
          <w:sz w:val="20"/>
          <w:szCs w:val="20"/>
        </w:rPr>
        <w:t xml:space="preserve"> Priority </w:t>
      </w:r>
      <w:r>
        <w:rPr>
          <w:rFonts w:ascii="Times New Roman" w:hAnsi="Times New Roman"/>
          <w:b/>
          <w:iCs/>
          <w:sz w:val="20"/>
          <w:szCs w:val="20"/>
        </w:rPr>
        <w:t>configuration)</w:t>
      </w:r>
      <w:r>
        <w:rPr>
          <w:b/>
        </w:rPr>
        <w:fldChar w:fldCharType="begin"/>
      </w:r>
      <w:r>
        <w:rPr>
          <w:b/>
        </w:rPr>
        <w:instrText xml:space="preserve"> REF _Ref92804827 \h </w:instrText>
      </w:r>
      <w:r>
        <w:rPr>
          <w:b/>
        </w:rPr>
        <w:fldChar w:fldCharType="separate"/>
      </w:r>
    </w:p>
    <w:p>
      <w:pPr>
        <w:pStyle w:val="13"/>
        <w:ind w:left="0"/>
        <w:rPr>
          <w:b/>
        </w:rPr>
      </w:pPr>
      <w:r>
        <w:rPr>
          <w:b/>
        </w:rPr>
        <w:t xml:space="preserve">Proposal 8: </w:t>
      </w:r>
      <w:r>
        <w:rPr>
          <w:b/>
          <w:szCs w:val="20"/>
          <w:lang w:val="en-GB"/>
        </w:rPr>
        <w:t>If RAN sharing is supported, the PLMNs and Cell IDs of different operator</w:t>
      </w:r>
      <w:r>
        <w:rPr>
          <w:b/>
        </w:rPr>
        <w:t xml:space="preserve"> network</w:t>
      </w:r>
      <w:r>
        <w:rPr>
          <w:b/>
          <w:szCs w:val="20"/>
          <w:lang w:val="en-GB"/>
        </w:rPr>
        <w:t xml:space="preserve">s </w:t>
      </w:r>
      <w:r>
        <w:rPr>
          <w:b/>
        </w:rPr>
        <w:t>are</w:t>
      </w:r>
      <w:r>
        <w:rPr>
          <w:b/>
          <w:szCs w:val="20"/>
          <w:lang w:val="en-GB"/>
        </w:rPr>
        <w:t xml:space="preserve"> transmitted in the discovery message.</w:t>
      </w:r>
      <w:r>
        <w:rPr>
          <w:b/>
        </w:rPr>
        <w:fldChar w:fldCharType="end"/>
      </w:r>
    </w:p>
    <w:p>
      <w:pPr>
        <w:pStyle w:val="13"/>
        <w:ind w:left="0"/>
        <w:rPr>
          <w:b/>
        </w:rPr>
      </w:pPr>
      <w:r>
        <w:rPr>
          <w:b/>
        </w:rPr>
        <w:fldChar w:fldCharType="begin"/>
      </w:r>
      <w:r>
        <w:rPr>
          <w:b/>
        </w:rPr>
        <w:instrText xml:space="preserve"> REF _Ref92807562 \h </w:instrText>
      </w:r>
      <w:r>
        <w:rPr>
          <w:b/>
        </w:rPr>
        <w:fldChar w:fldCharType="separate"/>
      </w:r>
      <w:r>
        <w:rPr>
          <w:b/>
        </w:rPr>
        <w:t>Proposal 9: RAN2 to discuss which option is preferred to include PLMN ID list in discovery message.</w:t>
      </w:r>
      <w:r>
        <w:rPr>
          <w:b/>
        </w:rPr>
        <w:fldChar w:fldCharType="end"/>
      </w:r>
    </w:p>
    <w:p>
      <w:pPr>
        <w:rPr>
          <w:b/>
        </w:rPr>
      </w:pPr>
      <w:r>
        <w:rPr>
          <w:b/>
          <w:lang w:val="en-GB"/>
        </w:rPr>
        <w:t xml:space="preserve">Option 1: an RRC container, which may reuse </w:t>
      </w:r>
      <w:r>
        <w:rPr>
          <w:b/>
          <w:i/>
        </w:rPr>
        <w:t xml:space="preserve">plmn-IdentityInfoList </w:t>
      </w:r>
      <w:r>
        <w:rPr>
          <w:b/>
        </w:rPr>
        <w:t xml:space="preserve">included in </w:t>
      </w:r>
      <w:r>
        <w:rPr>
          <w:b/>
          <w:i/>
        </w:rPr>
        <w:t>cellAccessRelatedInfo</w:t>
      </w:r>
      <w:r>
        <w:rPr>
          <w:b/>
        </w:rPr>
        <w:t>;</w:t>
      </w:r>
    </w:p>
    <w:p>
      <w:pPr>
        <w:rPr>
          <w:b/>
        </w:rPr>
      </w:pPr>
      <w:r>
        <w:rPr>
          <w:b/>
        </w:rPr>
        <w:t>Option 2: an additional IE explicitly included in Relay Discovery Additional Information.</w:t>
      </w:r>
    </w:p>
    <w:p>
      <w:pPr>
        <w:pStyle w:val="13"/>
        <w:ind w:left="0"/>
        <w:rPr>
          <w:bCs/>
          <w:sz w:val="20"/>
          <w:szCs w:val="20"/>
        </w:rPr>
      </w:pPr>
      <w:r>
        <w:rPr>
          <w:b/>
        </w:rPr>
        <w:fldChar w:fldCharType="begin"/>
      </w:r>
      <w:r>
        <w:rPr>
          <w:b/>
        </w:rPr>
        <w:instrText xml:space="preserve"> REF _Ref92807563 \h </w:instrText>
      </w:r>
      <w:r>
        <w:rPr>
          <w:b/>
        </w:rPr>
        <w:fldChar w:fldCharType="separate"/>
      </w:r>
      <w:r>
        <w:rPr>
          <w:b/>
        </w:rPr>
        <w:t>Proposal 10: Send an LS to SA2, if any option is agreed in Proposal 9.</w:t>
      </w:r>
      <w:r>
        <w:rPr>
          <w:b/>
        </w:rPr>
        <w:fldChar w:fldCharType="end"/>
      </w:r>
    </w:p>
    <w:p>
      <w:pPr>
        <w:keepNext/>
        <w:keepLines/>
        <w:pBdr>
          <w:top w:val="single" w:color="auto" w:sz="12" w:space="3"/>
        </w:pBdr>
        <w:overflowPunct w:val="0"/>
        <w:autoSpaceDE w:val="0"/>
        <w:autoSpaceDN w:val="0"/>
        <w:adjustRightInd w:val="0"/>
        <w:spacing w:before="240" w:after="180"/>
        <w:jc w:val="both"/>
        <w:textAlignment w:val="baseline"/>
        <w:outlineLvl w:val="0"/>
        <w:rPr>
          <w:rFonts w:ascii="Arial" w:hAnsi="Arial" w:eastAsia="宋体"/>
          <w:sz w:val="36"/>
          <w:szCs w:val="20"/>
          <w:lang w:eastAsia="en-GB"/>
        </w:rPr>
      </w:pPr>
      <w:r>
        <w:rPr>
          <w:rFonts w:ascii="Arial" w:hAnsi="Arial" w:eastAsia="宋体"/>
          <w:sz w:val="36"/>
          <w:szCs w:val="20"/>
          <w:lang w:eastAsia="en-GB"/>
        </w:rPr>
        <w:t>Reference</w:t>
      </w:r>
    </w:p>
    <w:p>
      <w:pPr>
        <w:pStyle w:val="3"/>
        <w:numPr>
          <w:ilvl w:val="0"/>
          <w:numId w:val="7"/>
        </w:numPr>
        <w:snapToGrid w:val="0"/>
        <w:spacing w:line="268" w:lineRule="auto"/>
        <w:contextualSpacing/>
        <w:rPr>
          <w:rFonts w:eastAsia="宋体"/>
          <w:color w:val="000000"/>
          <w:lang w:eastAsia="zh-CN"/>
        </w:rPr>
      </w:pPr>
      <w:bookmarkStart w:id="41" w:name="_Ref78984927"/>
      <w:bookmarkEnd w:id="41"/>
      <w:bookmarkStart w:id="42" w:name="_Ref78984953"/>
      <w:r>
        <w:rPr>
          <w:rFonts w:eastAsiaTheme="minorEastAsia"/>
          <w:lang w:eastAsia="zh-CN"/>
        </w:rPr>
        <w:t>RAN2 #116e meeting chairman notes.</w:t>
      </w:r>
      <w:bookmarkEnd w:id="42"/>
    </w:p>
    <w:p>
      <w:pPr>
        <w:pStyle w:val="3"/>
        <w:numPr>
          <w:ilvl w:val="0"/>
          <w:numId w:val="7"/>
        </w:numPr>
        <w:snapToGrid w:val="0"/>
        <w:spacing w:line="268" w:lineRule="auto"/>
        <w:contextualSpacing/>
        <w:rPr>
          <w:rFonts w:eastAsia="宋体"/>
          <w:color w:val="000000"/>
          <w:lang w:eastAsia="zh-CN"/>
        </w:rPr>
      </w:pPr>
      <w:bookmarkStart w:id="43" w:name="_Ref78998838"/>
      <w:r>
        <w:rPr>
          <w:rFonts w:eastAsiaTheme="minorEastAsia"/>
          <w:lang w:eastAsia="zh-CN"/>
        </w:rPr>
        <w:t>RAN2 #113bis-e meeting chairman notes.</w:t>
      </w:r>
      <w:bookmarkEnd w:id="43"/>
    </w:p>
    <w:p>
      <w:pPr>
        <w:pStyle w:val="3"/>
        <w:numPr>
          <w:ilvl w:val="0"/>
          <w:numId w:val="7"/>
        </w:numPr>
        <w:snapToGrid w:val="0"/>
        <w:spacing w:line="268" w:lineRule="auto"/>
        <w:contextualSpacing/>
        <w:rPr>
          <w:rFonts w:eastAsia="宋体"/>
          <w:color w:val="000000"/>
          <w:lang w:eastAsia="zh-CN"/>
        </w:rPr>
      </w:pPr>
      <w:bookmarkStart w:id="44" w:name="_Ref92790750"/>
      <w:r>
        <w:rPr>
          <w:rFonts w:eastAsiaTheme="minorEastAsia"/>
          <w:lang w:eastAsia="zh-CN"/>
        </w:rPr>
        <w:t>RAN2 #114-e meeting chairman notes.</w:t>
      </w:r>
      <w:bookmarkEnd w:id="44"/>
    </w:p>
    <w:p>
      <w:pPr>
        <w:pStyle w:val="3"/>
        <w:numPr>
          <w:ilvl w:val="0"/>
          <w:numId w:val="7"/>
        </w:numPr>
        <w:snapToGrid w:val="0"/>
        <w:spacing w:line="268" w:lineRule="auto"/>
        <w:contextualSpacing/>
        <w:rPr>
          <w:rFonts w:eastAsia="宋体"/>
          <w:color w:val="000000"/>
          <w:lang w:eastAsia="zh-CN"/>
        </w:rPr>
      </w:pPr>
      <w:bookmarkStart w:id="45" w:name="_Ref92791586"/>
      <w:r>
        <w:rPr>
          <w:rFonts w:eastAsia="宋体"/>
          <w:color w:val="000000"/>
          <w:lang w:eastAsia="zh-CN"/>
        </w:rPr>
        <w:t>R2-2111371, Summary [AT116-e][620][Relay] Reply LS to SA2 on discovery and relay (re)selection (CATT), 3GPP TSG RAN WG2 Meeting #116-e, Electronic Meeting, 1st - 12th November 2021</w:t>
      </w:r>
      <w:bookmarkEnd w:id="45"/>
    </w:p>
    <w:p>
      <w:pPr>
        <w:pStyle w:val="3"/>
        <w:tabs>
          <w:tab w:val="left" w:pos="420"/>
        </w:tabs>
        <w:snapToGrid w:val="0"/>
        <w:spacing w:line="268" w:lineRule="auto"/>
        <w:contextualSpacing/>
        <w:rPr>
          <w:rFonts w:eastAsia="宋体"/>
          <w:color w:val="000000"/>
          <w:lang w:eastAsia="zh-CN"/>
        </w:rPr>
      </w:pPr>
    </w:p>
    <w:sectPr>
      <w:headerReference r:id="rId3" w:type="default"/>
      <w:pgSz w:w="11906" w:h="16838"/>
      <w:pgMar w:top="284" w:right="1418" w:bottom="1418" w:left="1418" w:header="709" w:footer="709"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Semilight">
    <w:panose1 w:val="020B0502040204020203"/>
    <w:charset w:val="86"/>
    <w:family w:val="auto"/>
    <w:pitch w:val="default"/>
    <w:sig w:usb0="900002AF" w:usb1="01D77CFB" w:usb2="00000012" w:usb3="00000000" w:csb0="203E01BD" w:csb1="D7FF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09352F"/>
    <w:multiLevelType w:val="multilevel"/>
    <w:tmpl w:val="0609352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0DE34BC"/>
    <w:multiLevelType w:val="singleLevel"/>
    <w:tmpl w:val="40DE34BC"/>
    <w:lvl w:ilvl="0" w:tentative="0">
      <w:start w:val="1"/>
      <w:numFmt w:val="decimal"/>
      <w:pStyle w:val="44"/>
      <w:lvlText w:val="%1."/>
      <w:lvlJc w:val="left"/>
      <w:pPr>
        <w:tabs>
          <w:tab w:val="left" w:pos="360"/>
        </w:tabs>
        <w:ind w:left="360" w:hanging="360"/>
      </w:pPr>
    </w:lvl>
  </w:abstractNum>
  <w:abstractNum w:abstractNumId="2">
    <w:nsid w:val="57CE3AF2"/>
    <w:multiLevelType w:val="multilevel"/>
    <w:tmpl w:val="57CE3AF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9942C01"/>
    <w:multiLevelType w:val="multilevel"/>
    <w:tmpl w:val="69942C01"/>
    <w:lvl w:ilvl="0" w:tentative="0">
      <w:start w:val="0"/>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4">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5">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C68704B"/>
    <w:multiLevelType w:val="multilevel"/>
    <w:tmpl w:val="7C68704B"/>
    <w:lvl w:ilvl="0" w:tentative="0">
      <w:start w:val="1"/>
      <w:numFmt w:val="decimal"/>
      <w:lvlText w:val="[%1]"/>
      <w:lvlJc w:val="left"/>
      <w:pPr>
        <w:tabs>
          <w:tab w:val="left" w:pos="420"/>
        </w:tabs>
        <w:ind w:left="420" w:hanging="42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1"/>
  </w:num>
  <w:num w:numId="3">
    <w:abstractNumId w:val="4"/>
  </w:num>
  <w:num w:numId="4">
    <w:abstractNumId w:val="0"/>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6C"/>
    <w:rsid w:val="00002134"/>
    <w:rsid w:val="00002231"/>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B5"/>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0F92"/>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5FD3"/>
    <w:rsid w:val="000260C1"/>
    <w:rsid w:val="000261F3"/>
    <w:rsid w:val="0002684C"/>
    <w:rsid w:val="00026EE4"/>
    <w:rsid w:val="00027053"/>
    <w:rsid w:val="0002754F"/>
    <w:rsid w:val="0002757D"/>
    <w:rsid w:val="00027A20"/>
    <w:rsid w:val="00027B16"/>
    <w:rsid w:val="00027D3A"/>
    <w:rsid w:val="00030154"/>
    <w:rsid w:val="00030815"/>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1AF"/>
    <w:rsid w:val="000412E1"/>
    <w:rsid w:val="00041E6C"/>
    <w:rsid w:val="000421F2"/>
    <w:rsid w:val="0004256A"/>
    <w:rsid w:val="00042725"/>
    <w:rsid w:val="00042955"/>
    <w:rsid w:val="0004308A"/>
    <w:rsid w:val="000439E7"/>
    <w:rsid w:val="00043C44"/>
    <w:rsid w:val="00043F7C"/>
    <w:rsid w:val="00044275"/>
    <w:rsid w:val="00044623"/>
    <w:rsid w:val="00044EA5"/>
    <w:rsid w:val="00044F05"/>
    <w:rsid w:val="00045071"/>
    <w:rsid w:val="000458FF"/>
    <w:rsid w:val="00045A1C"/>
    <w:rsid w:val="00046B82"/>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0DA"/>
    <w:rsid w:val="000611AE"/>
    <w:rsid w:val="000613E6"/>
    <w:rsid w:val="00061A2C"/>
    <w:rsid w:val="00061B18"/>
    <w:rsid w:val="0006378E"/>
    <w:rsid w:val="000637DD"/>
    <w:rsid w:val="000638AA"/>
    <w:rsid w:val="0006391C"/>
    <w:rsid w:val="00063AA3"/>
    <w:rsid w:val="0006415F"/>
    <w:rsid w:val="000641A0"/>
    <w:rsid w:val="0006438A"/>
    <w:rsid w:val="000643C3"/>
    <w:rsid w:val="000643CC"/>
    <w:rsid w:val="000645F8"/>
    <w:rsid w:val="000647E2"/>
    <w:rsid w:val="00064826"/>
    <w:rsid w:val="00064C6E"/>
    <w:rsid w:val="00064EBD"/>
    <w:rsid w:val="000650F8"/>
    <w:rsid w:val="000655A8"/>
    <w:rsid w:val="000656FA"/>
    <w:rsid w:val="000658F2"/>
    <w:rsid w:val="0006633A"/>
    <w:rsid w:val="00066376"/>
    <w:rsid w:val="0006658D"/>
    <w:rsid w:val="00066EFF"/>
    <w:rsid w:val="00067498"/>
    <w:rsid w:val="00067A8F"/>
    <w:rsid w:val="00067C74"/>
    <w:rsid w:val="00067D9C"/>
    <w:rsid w:val="00067E35"/>
    <w:rsid w:val="00067E94"/>
    <w:rsid w:val="00067FBE"/>
    <w:rsid w:val="00070450"/>
    <w:rsid w:val="00070758"/>
    <w:rsid w:val="000710A9"/>
    <w:rsid w:val="0007110B"/>
    <w:rsid w:val="000713A4"/>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A29"/>
    <w:rsid w:val="00086187"/>
    <w:rsid w:val="0008625E"/>
    <w:rsid w:val="0008650F"/>
    <w:rsid w:val="000865B7"/>
    <w:rsid w:val="00087302"/>
    <w:rsid w:val="0008776D"/>
    <w:rsid w:val="000879CA"/>
    <w:rsid w:val="00087CF0"/>
    <w:rsid w:val="000902B4"/>
    <w:rsid w:val="000902FB"/>
    <w:rsid w:val="000909A5"/>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CF4"/>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172"/>
    <w:rsid w:val="000C0227"/>
    <w:rsid w:val="000C06A6"/>
    <w:rsid w:val="000C0DE3"/>
    <w:rsid w:val="000C1001"/>
    <w:rsid w:val="000C18A4"/>
    <w:rsid w:val="000C1B5F"/>
    <w:rsid w:val="000C1DF1"/>
    <w:rsid w:val="000C2208"/>
    <w:rsid w:val="000C2DDC"/>
    <w:rsid w:val="000C2EFE"/>
    <w:rsid w:val="000C31B8"/>
    <w:rsid w:val="000C3411"/>
    <w:rsid w:val="000C3FC2"/>
    <w:rsid w:val="000C440B"/>
    <w:rsid w:val="000C4D73"/>
    <w:rsid w:val="000C4FD8"/>
    <w:rsid w:val="000C515A"/>
    <w:rsid w:val="000C517D"/>
    <w:rsid w:val="000C54A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2CD8"/>
    <w:rsid w:val="000F306D"/>
    <w:rsid w:val="000F31F2"/>
    <w:rsid w:val="000F332B"/>
    <w:rsid w:val="000F38D0"/>
    <w:rsid w:val="000F3C46"/>
    <w:rsid w:val="000F3F5E"/>
    <w:rsid w:val="000F4B2A"/>
    <w:rsid w:val="000F543A"/>
    <w:rsid w:val="000F54AA"/>
    <w:rsid w:val="000F5542"/>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3AD"/>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E31"/>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3F"/>
    <w:rsid w:val="00130753"/>
    <w:rsid w:val="00130B3A"/>
    <w:rsid w:val="00130B83"/>
    <w:rsid w:val="00130EAE"/>
    <w:rsid w:val="00131770"/>
    <w:rsid w:val="00131FC1"/>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3FC3"/>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4C5"/>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5DE"/>
    <w:rsid w:val="00163B15"/>
    <w:rsid w:val="00163B6C"/>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D6D"/>
    <w:rsid w:val="00167E3C"/>
    <w:rsid w:val="00167F98"/>
    <w:rsid w:val="001702B2"/>
    <w:rsid w:val="00170C4A"/>
    <w:rsid w:val="00170D9A"/>
    <w:rsid w:val="00170ED8"/>
    <w:rsid w:val="00171517"/>
    <w:rsid w:val="001717AA"/>
    <w:rsid w:val="00171B30"/>
    <w:rsid w:val="00171C87"/>
    <w:rsid w:val="001722FD"/>
    <w:rsid w:val="00172D8C"/>
    <w:rsid w:val="001734C7"/>
    <w:rsid w:val="00173636"/>
    <w:rsid w:val="00173D6F"/>
    <w:rsid w:val="00173F7F"/>
    <w:rsid w:val="001743B2"/>
    <w:rsid w:val="0017449A"/>
    <w:rsid w:val="001745E0"/>
    <w:rsid w:val="0017496C"/>
    <w:rsid w:val="00174E15"/>
    <w:rsid w:val="00174E39"/>
    <w:rsid w:val="00175300"/>
    <w:rsid w:val="00175564"/>
    <w:rsid w:val="001759F9"/>
    <w:rsid w:val="001760C5"/>
    <w:rsid w:val="0017669A"/>
    <w:rsid w:val="00176D09"/>
    <w:rsid w:val="00176D18"/>
    <w:rsid w:val="00177001"/>
    <w:rsid w:val="00177528"/>
    <w:rsid w:val="0017779C"/>
    <w:rsid w:val="00177AB4"/>
    <w:rsid w:val="00177AFC"/>
    <w:rsid w:val="00177CD9"/>
    <w:rsid w:val="00180599"/>
    <w:rsid w:val="00180604"/>
    <w:rsid w:val="00180CB0"/>
    <w:rsid w:val="00181F37"/>
    <w:rsid w:val="001825AA"/>
    <w:rsid w:val="001829FA"/>
    <w:rsid w:val="001830CC"/>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96B"/>
    <w:rsid w:val="00186DEA"/>
    <w:rsid w:val="001877AF"/>
    <w:rsid w:val="001879C8"/>
    <w:rsid w:val="00187B80"/>
    <w:rsid w:val="00187BE5"/>
    <w:rsid w:val="00187F78"/>
    <w:rsid w:val="0019031A"/>
    <w:rsid w:val="001906CB"/>
    <w:rsid w:val="001907C4"/>
    <w:rsid w:val="00190A46"/>
    <w:rsid w:val="00190B32"/>
    <w:rsid w:val="00190B44"/>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44E"/>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5F51"/>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639"/>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541"/>
    <w:rsid w:val="001F59B7"/>
    <w:rsid w:val="001F5B83"/>
    <w:rsid w:val="001F6938"/>
    <w:rsid w:val="001F6DC8"/>
    <w:rsid w:val="001F6FFC"/>
    <w:rsid w:val="001F70E4"/>
    <w:rsid w:val="001F783A"/>
    <w:rsid w:val="001F7A50"/>
    <w:rsid w:val="001F7C6D"/>
    <w:rsid w:val="0020018E"/>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344"/>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15B"/>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2A19"/>
    <w:rsid w:val="0023318B"/>
    <w:rsid w:val="0023394C"/>
    <w:rsid w:val="00233984"/>
    <w:rsid w:val="002342DD"/>
    <w:rsid w:val="00234341"/>
    <w:rsid w:val="002344A0"/>
    <w:rsid w:val="002345DE"/>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47FA7"/>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37B8"/>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555"/>
    <w:rsid w:val="002576FF"/>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192A"/>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4FF2"/>
    <w:rsid w:val="00275037"/>
    <w:rsid w:val="00275303"/>
    <w:rsid w:val="00275952"/>
    <w:rsid w:val="0027628C"/>
    <w:rsid w:val="002763E1"/>
    <w:rsid w:val="002763EA"/>
    <w:rsid w:val="0027662B"/>
    <w:rsid w:val="002766C7"/>
    <w:rsid w:val="00276A19"/>
    <w:rsid w:val="00276FB9"/>
    <w:rsid w:val="00277033"/>
    <w:rsid w:val="0027724D"/>
    <w:rsid w:val="002777DC"/>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364"/>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0D5"/>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1CA"/>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80B"/>
    <w:rsid w:val="002C1CC5"/>
    <w:rsid w:val="002C1ED2"/>
    <w:rsid w:val="002C1F9B"/>
    <w:rsid w:val="002C1FF8"/>
    <w:rsid w:val="002C20BC"/>
    <w:rsid w:val="002C22B6"/>
    <w:rsid w:val="002C247F"/>
    <w:rsid w:val="002C2645"/>
    <w:rsid w:val="002C26BB"/>
    <w:rsid w:val="002C29C5"/>
    <w:rsid w:val="002C2D40"/>
    <w:rsid w:val="002C2DE0"/>
    <w:rsid w:val="002C3040"/>
    <w:rsid w:val="002C34D2"/>
    <w:rsid w:val="002C362D"/>
    <w:rsid w:val="002C36BE"/>
    <w:rsid w:val="002C37A8"/>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1C"/>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79D"/>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4D9"/>
    <w:rsid w:val="002E56EC"/>
    <w:rsid w:val="002E5874"/>
    <w:rsid w:val="002E5A80"/>
    <w:rsid w:val="002E5A91"/>
    <w:rsid w:val="002E5CCD"/>
    <w:rsid w:val="002E5DDA"/>
    <w:rsid w:val="002E5DE9"/>
    <w:rsid w:val="002E604C"/>
    <w:rsid w:val="002E60A3"/>
    <w:rsid w:val="002E6939"/>
    <w:rsid w:val="002E6B3E"/>
    <w:rsid w:val="002E6B7C"/>
    <w:rsid w:val="002E6F39"/>
    <w:rsid w:val="002E72D5"/>
    <w:rsid w:val="002E7578"/>
    <w:rsid w:val="002E76E2"/>
    <w:rsid w:val="002E78FC"/>
    <w:rsid w:val="002E79C0"/>
    <w:rsid w:val="002E7CE6"/>
    <w:rsid w:val="002E7E7E"/>
    <w:rsid w:val="002F0167"/>
    <w:rsid w:val="002F017B"/>
    <w:rsid w:val="002F01ED"/>
    <w:rsid w:val="002F0416"/>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F01"/>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781"/>
    <w:rsid w:val="0032485C"/>
    <w:rsid w:val="00324F1C"/>
    <w:rsid w:val="003257CB"/>
    <w:rsid w:val="0032584B"/>
    <w:rsid w:val="00325E81"/>
    <w:rsid w:val="0032602D"/>
    <w:rsid w:val="003261E7"/>
    <w:rsid w:val="00326610"/>
    <w:rsid w:val="003266C9"/>
    <w:rsid w:val="00326A1B"/>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8DC"/>
    <w:rsid w:val="00331A2E"/>
    <w:rsid w:val="00331A80"/>
    <w:rsid w:val="00331D2A"/>
    <w:rsid w:val="003324D7"/>
    <w:rsid w:val="00332998"/>
    <w:rsid w:val="00332DB3"/>
    <w:rsid w:val="0033314B"/>
    <w:rsid w:val="00333461"/>
    <w:rsid w:val="00333560"/>
    <w:rsid w:val="0033380F"/>
    <w:rsid w:val="0033419C"/>
    <w:rsid w:val="00334313"/>
    <w:rsid w:val="00334D37"/>
    <w:rsid w:val="00335192"/>
    <w:rsid w:val="0033574D"/>
    <w:rsid w:val="003359D0"/>
    <w:rsid w:val="00335C80"/>
    <w:rsid w:val="00335D9C"/>
    <w:rsid w:val="00335FD9"/>
    <w:rsid w:val="003361D6"/>
    <w:rsid w:val="003363FC"/>
    <w:rsid w:val="003364B0"/>
    <w:rsid w:val="00336A20"/>
    <w:rsid w:val="00336AE6"/>
    <w:rsid w:val="0033748B"/>
    <w:rsid w:val="003374CB"/>
    <w:rsid w:val="0033752C"/>
    <w:rsid w:val="0033790D"/>
    <w:rsid w:val="00337CEB"/>
    <w:rsid w:val="0034028C"/>
    <w:rsid w:val="0034050F"/>
    <w:rsid w:val="00340D19"/>
    <w:rsid w:val="003414FE"/>
    <w:rsid w:val="00341544"/>
    <w:rsid w:val="003417BB"/>
    <w:rsid w:val="00341A68"/>
    <w:rsid w:val="00341B89"/>
    <w:rsid w:val="00341E5F"/>
    <w:rsid w:val="00342531"/>
    <w:rsid w:val="0034291E"/>
    <w:rsid w:val="00342A80"/>
    <w:rsid w:val="00342C19"/>
    <w:rsid w:val="00342C8C"/>
    <w:rsid w:val="00343224"/>
    <w:rsid w:val="0034348B"/>
    <w:rsid w:val="00343686"/>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4"/>
    <w:rsid w:val="0035372B"/>
    <w:rsid w:val="003538E6"/>
    <w:rsid w:val="00353F27"/>
    <w:rsid w:val="00353FCD"/>
    <w:rsid w:val="003543CC"/>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4C5"/>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E6C"/>
    <w:rsid w:val="00375032"/>
    <w:rsid w:val="00375236"/>
    <w:rsid w:val="0037540A"/>
    <w:rsid w:val="00375DC7"/>
    <w:rsid w:val="003761B2"/>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D80"/>
    <w:rsid w:val="0038619E"/>
    <w:rsid w:val="0038630C"/>
    <w:rsid w:val="003864CE"/>
    <w:rsid w:val="00386503"/>
    <w:rsid w:val="003865FE"/>
    <w:rsid w:val="0038678E"/>
    <w:rsid w:val="00386944"/>
    <w:rsid w:val="00386C50"/>
    <w:rsid w:val="00386D1C"/>
    <w:rsid w:val="00386FA6"/>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C1A"/>
    <w:rsid w:val="00394EA8"/>
    <w:rsid w:val="0039511F"/>
    <w:rsid w:val="0039529D"/>
    <w:rsid w:val="00395308"/>
    <w:rsid w:val="00395898"/>
    <w:rsid w:val="003959CC"/>
    <w:rsid w:val="00395D00"/>
    <w:rsid w:val="00395EE4"/>
    <w:rsid w:val="0039647E"/>
    <w:rsid w:val="00396877"/>
    <w:rsid w:val="00396C26"/>
    <w:rsid w:val="00396DFF"/>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369"/>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818"/>
    <w:rsid w:val="003B7952"/>
    <w:rsid w:val="003B79A8"/>
    <w:rsid w:val="003C0C68"/>
    <w:rsid w:val="003C0FE1"/>
    <w:rsid w:val="003C1679"/>
    <w:rsid w:val="003C1854"/>
    <w:rsid w:val="003C194B"/>
    <w:rsid w:val="003C1A6D"/>
    <w:rsid w:val="003C2659"/>
    <w:rsid w:val="003C2B43"/>
    <w:rsid w:val="003C2C26"/>
    <w:rsid w:val="003C2C46"/>
    <w:rsid w:val="003C3267"/>
    <w:rsid w:val="003C39CD"/>
    <w:rsid w:val="003C3D71"/>
    <w:rsid w:val="003C3F11"/>
    <w:rsid w:val="003C4904"/>
    <w:rsid w:val="003C5004"/>
    <w:rsid w:val="003C5336"/>
    <w:rsid w:val="003C570C"/>
    <w:rsid w:val="003C5EBF"/>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5A8"/>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3D0E"/>
    <w:rsid w:val="00404C4F"/>
    <w:rsid w:val="00404D63"/>
    <w:rsid w:val="00404D74"/>
    <w:rsid w:val="0040594C"/>
    <w:rsid w:val="00405D85"/>
    <w:rsid w:val="00405DF8"/>
    <w:rsid w:val="00405E3B"/>
    <w:rsid w:val="0040672C"/>
    <w:rsid w:val="004068A7"/>
    <w:rsid w:val="004069F0"/>
    <w:rsid w:val="00406A66"/>
    <w:rsid w:val="00406B25"/>
    <w:rsid w:val="00406C82"/>
    <w:rsid w:val="00406D4B"/>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06F"/>
    <w:rsid w:val="004154C1"/>
    <w:rsid w:val="004159DC"/>
    <w:rsid w:val="00415BC4"/>
    <w:rsid w:val="00415DAE"/>
    <w:rsid w:val="004161C9"/>
    <w:rsid w:val="00416620"/>
    <w:rsid w:val="00416FAD"/>
    <w:rsid w:val="00416FAF"/>
    <w:rsid w:val="00417962"/>
    <w:rsid w:val="00417FBC"/>
    <w:rsid w:val="0042048B"/>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990"/>
    <w:rsid w:val="004375DE"/>
    <w:rsid w:val="004376F5"/>
    <w:rsid w:val="00437CE5"/>
    <w:rsid w:val="00437E1A"/>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892"/>
    <w:rsid w:val="004578F2"/>
    <w:rsid w:val="00457A4F"/>
    <w:rsid w:val="00457C8B"/>
    <w:rsid w:val="00457D9E"/>
    <w:rsid w:val="004602B6"/>
    <w:rsid w:val="004602E9"/>
    <w:rsid w:val="004608D3"/>
    <w:rsid w:val="00460CAD"/>
    <w:rsid w:val="0046111D"/>
    <w:rsid w:val="004613CD"/>
    <w:rsid w:val="00461668"/>
    <w:rsid w:val="00461E11"/>
    <w:rsid w:val="0046218F"/>
    <w:rsid w:val="00462352"/>
    <w:rsid w:val="00462570"/>
    <w:rsid w:val="00462647"/>
    <w:rsid w:val="00462778"/>
    <w:rsid w:val="00462D60"/>
    <w:rsid w:val="004630AB"/>
    <w:rsid w:val="0046321E"/>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04B"/>
    <w:rsid w:val="004771D3"/>
    <w:rsid w:val="004772D9"/>
    <w:rsid w:val="0047751B"/>
    <w:rsid w:val="004776D9"/>
    <w:rsid w:val="004779CD"/>
    <w:rsid w:val="004806F5"/>
    <w:rsid w:val="00480BFA"/>
    <w:rsid w:val="0048152B"/>
    <w:rsid w:val="00481A7F"/>
    <w:rsid w:val="00481F19"/>
    <w:rsid w:val="00482915"/>
    <w:rsid w:val="00482AA0"/>
    <w:rsid w:val="00483278"/>
    <w:rsid w:val="00483382"/>
    <w:rsid w:val="00483752"/>
    <w:rsid w:val="004837A8"/>
    <w:rsid w:val="00483B26"/>
    <w:rsid w:val="00483CBD"/>
    <w:rsid w:val="00484197"/>
    <w:rsid w:val="004842A7"/>
    <w:rsid w:val="00484F97"/>
    <w:rsid w:val="00485E5B"/>
    <w:rsid w:val="00485F31"/>
    <w:rsid w:val="004863E2"/>
    <w:rsid w:val="004866B4"/>
    <w:rsid w:val="0048670E"/>
    <w:rsid w:val="00486923"/>
    <w:rsid w:val="00486AA3"/>
    <w:rsid w:val="00486D48"/>
    <w:rsid w:val="00486FC1"/>
    <w:rsid w:val="0048704A"/>
    <w:rsid w:val="00487678"/>
    <w:rsid w:val="004900BE"/>
    <w:rsid w:val="004908DB"/>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5F9C"/>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074"/>
    <w:rsid w:val="004A2673"/>
    <w:rsid w:val="004A294A"/>
    <w:rsid w:val="004A2CA4"/>
    <w:rsid w:val="004A2FB7"/>
    <w:rsid w:val="004A3609"/>
    <w:rsid w:val="004A3809"/>
    <w:rsid w:val="004A3E5D"/>
    <w:rsid w:val="004A3EBE"/>
    <w:rsid w:val="004A3FF5"/>
    <w:rsid w:val="004A448C"/>
    <w:rsid w:val="004A46E6"/>
    <w:rsid w:val="004A4C90"/>
    <w:rsid w:val="004A4E75"/>
    <w:rsid w:val="004A5363"/>
    <w:rsid w:val="004A5708"/>
    <w:rsid w:val="004A6B8B"/>
    <w:rsid w:val="004A7278"/>
    <w:rsid w:val="004A736A"/>
    <w:rsid w:val="004A7E8B"/>
    <w:rsid w:val="004B008A"/>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3DDE"/>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8C2"/>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1D3"/>
    <w:rsid w:val="004D23F8"/>
    <w:rsid w:val="004D282B"/>
    <w:rsid w:val="004D315D"/>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47E"/>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8F"/>
    <w:rsid w:val="004F259D"/>
    <w:rsid w:val="004F25F4"/>
    <w:rsid w:val="004F2E4B"/>
    <w:rsid w:val="004F3085"/>
    <w:rsid w:val="004F362B"/>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895"/>
    <w:rsid w:val="004F7908"/>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525"/>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340"/>
    <w:rsid w:val="005147BD"/>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AF9"/>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3B9"/>
    <w:rsid w:val="0053544E"/>
    <w:rsid w:val="0053546D"/>
    <w:rsid w:val="00535489"/>
    <w:rsid w:val="005355CB"/>
    <w:rsid w:val="00535AC2"/>
    <w:rsid w:val="0053619B"/>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7BF"/>
    <w:rsid w:val="00545ACB"/>
    <w:rsid w:val="00545EC5"/>
    <w:rsid w:val="0054613C"/>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9C9"/>
    <w:rsid w:val="00555AAD"/>
    <w:rsid w:val="005561B1"/>
    <w:rsid w:val="005564E4"/>
    <w:rsid w:val="00556986"/>
    <w:rsid w:val="00556E77"/>
    <w:rsid w:val="00556F68"/>
    <w:rsid w:val="00556FD9"/>
    <w:rsid w:val="005573C8"/>
    <w:rsid w:val="005579D8"/>
    <w:rsid w:val="00557A53"/>
    <w:rsid w:val="00557B1A"/>
    <w:rsid w:val="005601AC"/>
    <w:rsid w:val="005601E3"/>
    <w:rsid w:val="0056045B"/>
    <w:rsid w:val="005607BF"/>
    <w:rsid w:val="0056088B"/>
    <w:rsid w:val="00561021"/>
    <w:rsid w:val="0056110C"/>
    <w:rsid w:val="005611BD"/>
    <w:rsid w:val="0056123A"/>
    <w:rsid w:val="0056138E"/>
    <w:rsid w:val="00561BD6"/>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932"/>
    <w:rsid w:val="00567BA3"/>
    <w:rsid w:val="0057029A"/>
    <w:rsid w:val="0057035F"/>
    <w:rsid w:val="005703CA"/>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CD8"/>
    <w:rsid w:val="00594F26"/>
    <w:rsid w:val="00595192"/>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4FB4"/>
    <w:rsid w:val="005A524B"/>
    <w:rsid w:val="005A584B"/>
    <w:rsid w:val="005A5F1D"/>
    <w:rsid w:val="005A606D"/>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B7F44"/>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29C6"/>
    <w:rsid w:val="005D3067"/>
    <w:rsid w:val="005D329D"/>
    <w:rsid w:val="005D35E7"/>
    <w:rsid w:val="005D363A"/>
    <w:rsid w:val="005D3BDF"/>
    <w:rsid w:val="005D3F99"/>
    <w:rsid w:val="005D4F7B"/>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46D"/>
    <w:rsid w:val="005E20CA"/>
    <w:rsid w:val="005E2A38"/>
    <w:rsid w:val="005E2C31"/>
    <w:rsid w:val="005E2E51"/>
    <w:rsid w:val="005E2FB4"/>
    <w:rsid w:val="005E30B8"/>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560"/>
    <w:rsid w:val="005F1696"/>
    <w:rsid w:val="005F17B4"/>
    <w:rsid w:val="005F19C4"/>
    <w:rsid w:val="005F1A95"/>
    <w:rsid w:val="005F1D43"/>
    <w:rsid w:val="005F1EC5"/>
    <w:rsid w:val="005F24C3"/>
    <w:rsid w:val="005F2A7B"/>
    <w:rsid w:val="005F2D82"/>
    <w:rsid w:val="005F2F80"/>
    <w:rsid w:val="005F305C"/>
    <w:rsid w:val="005F3358"/>
    <w:rsid w:val="005F3E0A"/>
    <w:rsid w:val="005F3E70"/>
    <w:rsid w:val="005F4159"/>
    <w:rsid w:val="005F44DA"/>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1920"/>
    <w:rsid w:val="0060221A"/>
    <w:rsid w:val="006023FD"/>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07C1A"/>
    <w:rsid w:val="00610B42"/>
    <w:rsid w:val="00610C1F"/>
    <w:rsid w:val="006112D0"/>
    <w:rsid w:val="006115DE"/>
    <w:rsid w:val="00611780"/>
    <w:rsid w:val="00611819"/>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200"/>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57DBC"/>
    <w:rsid w:val="006605A6"/>
    <w:rsid w:val="006609EC"/>
    <w:rsid w:val="00660B3B"/>
    <w:rsid w:val="00660BC0"/>
    <w:rsid w:val="006611C8"/>
    <w:rsid w:val="006618D6"/>
    <w:rsid w:val="00661BB7"/>
    <w:rsid w:val="00661F02"/>
    <w:rsid w:val="006624A8"/>
    <w:rsid w:val="006629E7"/>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5E08"/>
    <w:rsid w:val="006667F9"/>
    <w:rsid w:val="006668C2"/>
    <w:rsid w:val="00666946"/>
    <w:rsid w:val="00666CC6"/>
    <w:rsid w:val="0066706D"/>
    <w:rsid w:val="00667242"/>
    <w:rsid w:val="006672C9"/>
    <w:rsid w:val="00667322"/>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1B"/>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6BB"/>
    <w:rsid w:val="0068686B"/>
    <w:rsid w:val="00686A57"/>
    <w:rsid w:val="006873B6"/>
    <w:rsid w:val="006874D4"/>
    <w:rsid w:val="00687E40"/>
    <w:rsid w:val="0069050E"/>
    <w:rsid w:val="00690C4D"/>
    <w:rsid w:val="0069117F"/>
    <w:rsid w:val="00691907"/>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D1B"/>
    <w:rsid w:val="006960F5"/>
    <w:rsid w:val="00696732"/>
    <w:rsid w:val="00696A75"/>
    <w:rsid w:val="00696A81"/>
    <w:rsid w:val="00696C45"/>
    <w:rsid w:val="00696E31"/>
    <w:rsid w:val="0069712C"/>
    <w:rsid w:val="00697296"/>
    <w:rsid w:val="00697704"/>
    <w:rsid w:val="0069782D"/>
    <w:rsid w:val="00697882"/>
    <w:rsid w:val="00697980"/>
    <w:rsid w:val="00697A12"/>
    <w:rsid w:val="00697E9B"/>
    <w:rsid w:val="006A00B7"/>
    <w:rsid w:val="006A012C"/>
    <w:rsid w:val="006A049C"/>
    <w:rsid w:val="006A04DE"/>
    <w:rsid w:val="006A0558"/>
    <w:rsid w:val="006A0845"/>
    <w:rsid w:val="006A08C3"/>
    <w:rsid w:val="006A0CF9"/>
    <w:rsid w:val="006A1002"/>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12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2B"/>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FA2"/>
    <w:rsid w:val="006B5157"/>
    <w:rsid w:val="006B51ED"/>
    <w:rsid w:val="006B5532"/>
    <w:rsid w:val="006B5A39"/>
    <w:rsid w:val="006B5EF3"/>
    <w:rsid w:val="006B63B1"/>
    <w:rsid w:val="006B6589"/>
    <w:rsid w:val="006B6C86"/>
    <w:rsid w:val="006B6DFD"/>
    <w:rsid w:val="006C00B3"/>
    <w:rsid w:val="006C012F"/>
    <w:rsid w:val="006C078A"/>
    <w:rsid w:val="006C0A56"/>
    <w:rsid w:val="006C0E04"/>
    <w:rsid w:val="006C0F64"/>
    <w:rsid w:val="006C1314"/>
    <w:rsid w:val="006C142E"/>
    <w:rsid w:val="006C162F"/>
    <w:rsid w:val="006C1D94"/>
    <w:rsid w:val="006C1F22"/>
    <w:rsid w:val="006C2241"/>
    <w:rsid w:val="006C227E"/>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6E"/>
    <w:rsid w:val="006E74B7"/>
    <w:rsid w:val="006E776C"/>
    <w:rsid w:val="006E7FE2"/>
    <w:rsid w:val="006F0287"/>
    <w:rsid w:val="006F0E54"/>
    <w:rsid w:val="006F11AA"/>
    <w:rsid w:val="006F15E9"/>
    <w:rsid w:val="006F17DE"/>
    <w:rsid w:val="006F1800"/>
    <w:rsid w:val="006F18DC"/>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23A"/>
    <w:rsid w:val="006F661F"/>
    <w:rsid w:val="006F666E"/>
    <w:rsid w:val="006F69AA"/>
    <w:rsid w:val="006F69BE"/>
    <w:rsid w:val="006F6C20"/>
    <w:rsid w:val="006F7098"/>
    <w:rsid w:val="006F70A0"/>
    <w:rsid w:val="006F7316"/>
    <w:rsid w:val="006F7382"/>
    <w:rsid w:val="006F79BF"/>
    <w:rsid w:val="006F7A67"/>
    <w:rsid w:val="006F7FA2"/>
    <w:rsid w:val="0070010B"/>
    <w:rsid w:val="0070015E"/>
    <w:rsid w:val="007001D1"/>
    <w:rsid w:val="0070062E"/>
    <w:rsid w:val="007010F1"/>
    <w:rsid w:val="00701174"/>
    <w:rsid w:val="00701A1E"/>
    <w:rsid w:val="00701A4B"/>
    <w:rsid w:val="007022B6"/>
    <w:rsid w:val="0070279A"/>
    <w:rsid w:val="007028D9"/>
    <w:rsid w:val="00702BAC"/>
    <w:rsid w:val="00702BBF"/>
    <w:rsid w:val="00702EF2"/>
    <w:rsid w:val="00702F01"/>
    <w:rsid w:val="007034E3"/>
    <w:rsid w:val="007035F5"/>
    <w:rsid w:val="00703783"/>
    <w:rsid w:val="00703A4A"/>
    <w:rsid w:val="0070424E"/>
    <w:rsid w:val="00704314"/>
    <w:rsid w:val="007046D3"/>
    <w:rsid w:val="00704DAB"/>
    <w:rsid w:val="00704FAF"/>
    <w:rsid w:val="00705211"/>
    <w:rsid w:val="007053DD"/>
    <w:rsid w:val="007054E4"/>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720E"/>
    <w:rsid w:val="0071761A"/>
    <w:rsid w:val="007176A7"/>
    <w:rsid w:val="00717988"/>
    <w:rsid w:val="007203FB"/>
    <w:rsid w:val="00720D57"/>
    <w:rsid w:val="00721024"/>
    <w:rsid w:val="0072150D"/>
    <w:rsid w:val="007216B2"/>
    <w:rsid w:val="00722C37"/>
    <w:rsid w:val="00722C95"/>
    <w:rsid w:val="00722CFE"/>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3B0"/>
    <w:rsid w:val="0073453B"/>
    <w:rsid w:val="00734580"/>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8F0"/>
    <w:rsid w:val="00737CB1"/>
    <w:rsid w:val="00740380"/>
    <w:rsid w:val="007407AF"/>
    <w:rsid w:val="00740E82"/>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4F62"/>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7A5"/>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6239"/>
    <w:rsid w:val="00776269"/>
    <w:rsid w:val="00776CF8"/>
    <w:rsid w:val="00776D50"/>
    <w:rsid w:val="00776FBB"/>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944"/>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5F67"/>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0DB"/>
    <w:rsid w:val="007B5407"/>
    <w:rsid w:val="007B5E89"/>
    <w:rsid w:val="007B5F4A"/>
    <w:rsid w:val="007B6146"/>
    <w:rsid w:val="007B61CD"/>
    <w:rsid w:val="007B6244"/>
    <w:rsid w:val="007B6476"/>
    <w:rsid w:val="007B6606"/>
    <w:rsid w:val="007B6ADE"/>
    <w:rsid w:val="007B6BAB"/>
    <w:rsid w:val="007B6C07"/>
    <w:rsid w:val="007B744E"/>
    <w:rsid w:val="007B7C30"/>
    <w:rsid w:val="007B7EAA"/>
    <w:rsid w:val="007B7FFD"/>
    <w:rsid w:val="007C0435"/>
    <w:rsid w:val="007C04F0"/>
    <w:rsid w:val="007C0B17"/>
    <w:rsid w:val="007C0ECD"/>
    <w:rsid w:val="007C13FC"/>
    <w:rsid w:val="007C1CA4"/>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CE9"/>
    <w:rsid w:val="007D3DCA"/>
    <w:rsid w:val="007D42DE"/>
    <w:rsid w:val="007D4739"/>
    <w:rsid w:val="007D49DA"/>
    <w:rsid w:val="007D4BA0"/>
    <w:rsid w:val="007D4F2A"/>
    <w:rsid w:val="007D501C"/>
    <w:rsid w:val="007D582C"/>
    <w:rsid w:val="007D5C5D"/>
    <w:rsid w:val="007D60EF"/>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CDF"/>
    <w:rsid w:val="007E2FF9"/>
    <w:rsid w:val="007E3A95"/>
    <w:rsid w:val="007E3BCD"/>
    <w:rsid w:val="007E3FB4"/>
    <w:rsid w:val="007E3FE1"/>
    <w:rsid w:val="007E49C7"/>
    <w:rsid w:val="007E4C21"/>
    <w:rsid w:val="007E51A1"/>
    <w:rsid w:val="007E58F7"/>
    <w:rsid w:val="007E5B75"/>
    <w:rsid w:val="007E5BB8"/>
    <w:rsid w:val="007E5E41"/>
    <w:rsid w:val="007E5ED4"/>
    <w:rsid w:val="007E6104"/>
    <w:rsid w:val="007E6236"/>
    <w:rsid w:val="007E65A0"/>
    <w:rsid w:val="007E65FC"/>
    <w:rsid w:val="007E6B2E"/>
    <w:rsid w:val="007E7180"/>
    <w:rsid w:val="007E745E"/>
    <w:rsid w:val="007E746D"/>
    <w:rsid w:val="007E7A0D"/>
    <w:rsid w:val="007E7CF9"/>
    <w:rsid w:val="007E7FBE"/>
    <w:rsid w:val="007F0256"/>
    <w:rsid w:val="007F0604"/>
    <w:rsid w:val="007F0629"/>
    <w:rsid w:val="007F0DC3"/>
    <w:rsid w:val="007F15A7"/>
    <w:rsid w:val="007F163A"/>
    <w:rsid w:val="007F175C"/>
    <w:rsid w:val="007F1C3A"/>
    <w:rsid w:val="007F1E3A"/>
    <w:rsid w:val="007F210F"/>
    <w:rsid w:val="007F23A4"/>
    <w:rsid w:val="007F24AE"/>
    <w:rsid w:val="007F2780"/>
    <w:rsid w:val="007F2BE5"/>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08"/>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17222"/>
    <w:rsid w:val="00817BE7"/>
    <w:rsid w:val="00821622"/>
    <w:rsid w:val="008217E8"/>
    <w:rsid w:val="00821B30"/>
    <w:rsid w:val="0082203E"/>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7CB"/>
    <w:rsid w:val="00830B42"/>
    <w:rsid w:val="00830CE7"/>
    <w:rsid w:val="008311B7"/>
    <w:rsid w:val="008317BE"/>
    <w:rsid w:val="00831BE1"/>
    <w:rsid w:val="00831C33"/>
    <w:rsid w:val="00831CCB"/>
    <w:rsid w:val="00831CF6"/>
    <w:rsid w:val="00832275"/>
    <w:rsid w:val="0083260C"/>
    <w:rsid w:val="008328B5"/>
    <w:rsid w:val="008330ED"/>
    <w:rsid w:val="00833705"/>
    <w:rsid w:val="008345B8"/>
    <w:rsid w:val="00834883"/>
    <w:rsid w:val="00834A62"/>
    <w:rsid w:val="008350F0"/>
    <w:rsid w:val="0083516C"/>
    <w:rsid w:val="00835754"/>
    <w:rsid w:val="008357CC"/>
    <w:rsid w:val="00836066"/>
    <w:rsid w:val="008364F5"/>
    <w:rsid w:val="00836757"/>
    <w:rsid w:val="008367F7"/>
    <w:rsid w:val="008368FE"/>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51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2B"/>
    <w:rsid w:val="00851CBC"/>
    <w:rsid w:val="008528F3"/>
    <w:rsid w:val="0085392E"/>
    <w:rsid w:val="00853AF9"/>
    <w:rsid w:val="00853F08"/>
    <w:rsid w:val="00854200"/>
    <w:rsid w:val="00854490"/>
    <w:rsid w:val="00854B30"/>
    <w:rsid w:val="00854EDE"/>
    <w:rsid w:val="00855AF6"/>
    <w:rsid w:val="00855B5C"/>
    <w:rsid w:val="00855DFE"/>
    <w:rsid w:val="008560BE"/>
    <w:rsid w:val="008563D7"/>
    <w:rsid w:val="008569BD"/>
    <w:rsid w:val="00856A51"/>
    <w:rsid w:val="00856A79"/>
    <w:rsid w:val="00856CCB"/>
    <w:rsid w:val="00856D9A"/>
    <w:rsid w:val="00856DCC"/>
    <w:rsid w:val="008573A2"/>
    <w:rsid w:val="0085758A"/>
    <w:rsid w:val="008576C7"/>
    <w:rsid w:val="00857D00"/>
    <w:rsid w:val="00857D01"/>
    <w:rsid w:val="00857E38"/>
    <w:rsid w:val="008603A0"/>
    <w:rsid w:val="00860E22"/>
    <w:rsid w:val="00861099"/>
    <w:rsid w:val="0086117F"/>
    <w:rsid w:val="008611CD"/>
    <w:rsid w:val="00861560"/>
    <w:rsid w:val="0086199A"/>
    <w:rsid w:val="00861AE1"/>
    <w:rsid w:val="00861C81"/>
    <w:rsid w:val="00861EE3"/>
    <w:rsid w:val="00862470"/>
    <w:rsid w:val="008627E1"/>
    <w:rsid w:val="008627EF"/>
    <w:rsid w:val="00862F19"/>
    <w:rsid w:val="00863044"/>
    <w:rsid w:val="0086375F"/>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2D5"/>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3FA"/>
    <w:rsid w:val="00873AB1"/>
    <w:rsid w:val="00873CAB"/>
    <w:rsid w:val="008743CF"/>
    <w:rsid w:val="008743DE"/>
    <w:rsid w:val="008746DE"/>
    <w:rsid w:val="0087480A"/>
    <w:rsid w:val="008749FA"/>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038"/>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475"/>
    <w:rsid w:val="00891487"/>
    <w:rsid w:val="008919E7"/>
    <w:rsid w:val="00891B06"/>
    <w:rsid w:val="00891D6B"/>
    <w:rsid w:val="00892C3E"/>
    <w:rsid w:val="00892DF0"/>
    <w:rsid w:val="00892F75"/>
    <w:rsid w:val="0089355D"/>
    <w:rsid w:val="00893A3B"/>
    <w:rsid w:val="00893E19"/>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139"/>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6D4"/>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3C7A"/>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28D1"/>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85"/>
    <w:rsid w:val="009059BC"/>
    <w:rsid w:val="009060E6"/>
    <w:rsid w:val="009061DD"/>
    <w:rsid w:val="009068B1"/>
    <w:rsid w:val="00906C20"/>
    <w:rsid w:val="00906E3C"/>
    <w:rsid w:val="00906E41"/>
    <w:rsid w:val="00906F61"/>
    <w:rsid w:val="009071FC"/>
    <w:rsid w:val="00907520"/>
    <w:rsid w:val="00907C6F"/>
    <w:rsid w:val="00910611"/>
    <w:rsid w:val="00910CE7"/>
    <w:rsid w:val="00910D61"/>
    <w:rsid w:val="009117F0"/>
    <w:rsid w:val="009118F9"/>
    <w:rsid w:val="00911B59"/>
    <w:rsid w:val="00912030"/>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2DE4"/>
    <w:rsid w:val="009335CA"/>
    <w:rsid w:val="00933951"/>
    <w:rsid w:val="00933B65"/>
    <w:rsid w:val="00933C0C"/>
    <w:rsid w:val="0093414D"/>
    <w:rsid w:val="00934183"/>
    <w:rsid w:val="00934623"/>
    <w:rsid w:val="00934643"/>
    <w:rsid w:val="00934780"/>
    <w:rsid w:val="009348A1"/>
    <w:rsid w:val="009351A2"/>
    <w:rsid w:val="009355C5"/>
    <w:rsid w:val="00935A21"/>
    <w:rsid w:val="00935A37"/>
    <w:rsid w:val="00935CA2"/>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0DC"/>
    <w:rsid w:val="00946175"/>
    <w:rsid w:val="009462A0"/>
    <w:rsid w:val="009463E2"/>
    <w:rsid w:val="009464C8"/>
    <w:rsid w:val="009465CB"/>
    <w:rsid w:val="00946D40"/>
    <w:rsid w:val="00947921"/>
    <w:rsid w:val="00947A93"/>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203"/>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482"/>
    <w:rsid w:val="009647FF"/>
    <w:rsid w:val="00965C48"/>
    <w:rsid w:val="00965E56"/>
    <w:rsid w:val="00965F20"/>
    <w:rsid w:val="00966232"/>
    <w:rsid w:val="009664C7"/>
    <w:rsid w:val="00966799"/>
    <w:rsid w:val="00966C97"/>
    <w:rsid w:val="009701DF"/>
    <w:rsid w:val="0097047F"/>
    <w:rsid w:val="00970F83"/>
    <w:rsid w:val="009713B4"/>
    <w:rsid w:val="009714D0"/>
    <w:rsid w:val="00971DB8"/>
    <w:rsid w:val="00971F72"/>
    <w:rsid w:val="00972385"/>
    <w:rsid w:val="0097265B"/>
    <w:rsid w:val="00972C7A"/>
    <w:rsid w:val="00972D9C"/>
    <w:rsid w:val="009732AB"/>
    <w:rsid w:val="00973D15"/>
    <w:rsid w:val="00973EA6"/>
    <w:rsid w:val="00973F5D"/>
    <w:rsid w:val="00974BA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1B93"/>
    <w:rsid w:val="009A252E"/>
    <w:rsid w:val="009A260E"/>
    <w:rsid w:val="009A2727"/>
    <w:rsid w:val="009A294C"/>
    <w:rsid w:val="009A2D35"/>
    <w:rsid w:val="009A2DE3"/>
    <w:rsid w:val="009A37A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B7B7D"/>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947"/>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271"/>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C6B"/>
    <w:rsid w:val="009D5CC2"/>
    <w:rsid w:val="009D66E2"/>
    <w:rsid w:val="009D6911"/>
    <w:rsid w:val="009D6EA5"/>
    <w:rsid w:val="009D711F"/>
    <w:rsid w:val="009D75B8"/>
    <w:rsid w:val="009D7C19"/>
    <w:rsid w:val="009E0345"/>
    <w:rsid w:val="009E05BD"/>
    <w:rsid w:val="009E0C5A"/>
    <w:rsid w:val="009E0E31"/>
    <w:rsid w:val="009E16F7"/>
    <w:rsid w:val="009E2101"/>
    <w:rsid w:val="009E222A"/>
    <w:rsid w:val="009E2269"/>
    <w:rsid w:val="009E277D"/>
    <w:rsid w:val="009E27A0"/>
    <w:rsid w:val="009E29BF"/>
    <w:rsid w:val="009E2D79"/>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96E"/>
    <w:rsid w:val="009F3A26"/>
    <w:rsid w:val="009F3FBC"/>
    <w:rsid w:val="009F44D2"/>
    <w:rsid w:val="009F4DE3"/>
    <w:rsid w:val="009F5896"/>
    <w:rsid w:val="009F676F"/>
    <w:rsid w:val="009F71E2"/>
    <w:rsid w:val="009F7670"/>
    <w:rsid w:val="009F7D79"/>
    <w:rsid w:val="00A00574"/>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35A"/>
    <w:rsid w:val="00A07383"/>
    <w:rsid w:val="00A07536"/>
    <w:rsid w:val="00A0778F"/>
    <w:rsid w:val="00A0781B"/>
    <w:rsid w:val="00A07903"/>
    <w:rsid w:val="00A07BAE"/>
    <w:rsid w:val="00A07D84"/>
    <w:rsid w:val="00A07DD2"/>
    <w:rsid w:val="00A07E5F"/>
    <w:rsid w:val="00A07FCD"/>
    <w:rsid w:val="00A10082"/>
    <w:rsid w:val="00A101FF"/>
    <w:rsid w:val="00A10456"/>
    <w:rsid w:val="00A104FD"/>
    <w:rsid w:val="00A105F0"/>
    <w:rsid w:val="00A10CB3"/>
    <w:rsid w:val="00A1131E"/>
    <w:rsid w:val="00A116B8"/>
    <w:rsid w:val="00A11A3A"/>
    <w:rsid w:val="00A11D66"/>
    <w:rsid w:val="00A121DC"/>
    <w:rsid w:val="00A12539"/>
    <w:rsid w:val="00A126E3"/>
    <w:rsid w:val="00A12748"/>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49F"/>
    <w:rsid w:val="00A226BC"/>
    <w:rsid w:val="00A229A0"/>
    <w:rsid w:val="00A22A64"/>
    <w:rsid w:val="00A22B9D"/>
    <w:rsid w:val="00A23221"/>
    <w:rsid w:val="00A2359B"/>
    <w:rsid w:val="00A2389A"/>
    <w:rsid w:val="00A23BAD"/>
    <w:rsid w:val="00A23D48"/>
    <w:rsid w:val="00A2400F"/>
    <w:rsid w:val="00A2414F"/>
    <w:rsid w:val="00A241A7"/>
    <w:rsid w:val="00A2435B"/>
    <w:rsid w:val="00A254B0"/>
    <w:rsid w:val="00A25CC0"/>
    <w:rsid w:val="00A25F5C"/>
    <w:rsid w:val="00A26006"/>
    <w:rsid w:val="00A264D2"/>
    <w:rsid w:val="00A2677B"/>
    <w:rsid w:val="00A26789"/>
    <w:rsid w:val="00A27077"/>
    <w:rsid w:val="00A272EF"/>
    <w:rsid w:val="00A27858"/>
    <w:rsid w:val="00A278EE"/>
    <w:rsid w:val="00A279BD"/>
    <w:rsid w:val="00A27B9A"/>
    <w:rsid w:val="00A3005D"/>
    <w:rsid w:val="00A303CC"/>
    <w:rsid w:val="00A30A02"/>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A9E"/>
    <w:rsid w:val="00A43B30"/>
    <w:rsid w:val="00A443B7"/>
    <w:rsid w:val="00A4492C"/>
    <w:rsid w:val="00A44993"/>
    <w:rsid w:val="00A44A6E"/>
    <w:rsid w:val="00A452D7"/>
    <w:rsid w:val="00A459AE"/>
    <w:rsid w:val="00A45CF4"/>
    <w:rsid w:val="00A45D21"/>
    <w:rsid w:val="00A4609D"/>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0C9D"/>
    <w:rsid w:val="00A61613"/>
    <w:rsid w:val="00A62240"/>
    <w:rsid w:val="00A6286A"/>
    <w:rsid w:val="00A62A3E"/>
    <w:rsid w:val="00A62C6C"/>
    <w:rsid w:val="00A631D8"/>
    <w:rsid w:val="00A63698"/>
    <w:rsid w:val="00A63A16"/>
    <w:rsid w:val="00A63E70"/>
    <w:rsid w:val="00A644F3"/>
    <w:rsid w:val="00A645C0"/>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431"/>
    <w:rsid w:val="00A75E31"/>
    <w:rsid w:val="00A761C3"/>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CB6"/>
    <w:rsid w:val="00A84D12"/>
    <w:rsid w:val="00A852C1"/>
    <w:rsid w:val="00A85869"/>
    <w:rsid w:val="00A85B5D"/>
    <w:rsid w:val="00A85CE6"/>
    <w:rsid w:val="00A86AF0"/>
    <w:rsid w:val="00A87638"/>
    <w:rsid w:val="00A877AD"/>
    <w:rsid w:val="00A87888"/>
    <w:rsid w:val="00A87B07"/>
    <w:rsid w:val="00A90496"/>
    <w:rsid w:val="00A9062C"/>
    <w:rsid w:val="00A90AEF"/>
    <w:rsid w:val="00A90F82"/>
    <w:rsid w:val="00A9177C"/>
    <w:rsid w:val="00A91941"/>
    <w:rsid w:val="00A91A55"/>
    <w:rsid w:val="00A9217C"/>
    <w:rsid w:val="00A923DC"/>
    <w:rsid w:val="00A924BD"/>
    <w:rsid w:val="00A926AE"/>
    <w:rsid w:val="00A92AB8"/>
    <w:rsid w:val="00A92D46"/>
    <w:rsid w:val="00A93446"/>
    <w:rsid w:val="00A94C65"/>
    <w:rsid w:val="00A95113"/>
    <w:rsid w:val="00A95326"/>
    <w:rsid w:val="00A9533D"/>
    <w:rsid w:val="00A959D8"/>
    <w:rsid w:val="00A95B86"/>
    <w:rsid w:val="00A95B94"/>
    <w:rsid w:val="00A96694"/>
    <w:rsid w:val="00A96952"/>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AB4"/>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C71FC"/>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B43"/>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48C6"/>
    <w:rsid w:val="00AF53F7"/>
    <w:rsid w:val="00AF54A1"/>
    <w:rsid w:val="00AF5B71"/>
    <w:rsid w:val="00AF622C"/>
    <w:rsid w:val="00AF623E"/>
    <w:rsid w:val="00AF62F1"/>
    <w:rsid w:val="00AF6482"/>
    <w:rsid w:val="00AF6A10"/>
    <w:rsid w:val="00AF764A"/>
    <w:rsid w:val="00AF7BA9"/>
    <w:rsid w:val="00AF7F1E"/>
    <w:rsid w:val="00B0033B"/>
    <w:rsid w:val="00B00601"/>
    <w:rsid w:val="00B006E8"/>
    <w:rsid w:val="00B00922"/>
    <w:rsid w:val="00B009DB"/>
    <w:rsid w:val="00B011A3"/>
    <w:rsid w:val="00B01244"/>
    <w:rsid w:val="00B0137D"/>
    <w:rsid w:val="00B01619"/>
    <w:rsid w:val="00B017B4"/>
    <w:rsid w:val="00B01F28"/>
    <w:rsid w:val="00B022FC"/>
    <w:rsid w:val="00B0289D"/>
    <w:rsid w:val="00B02B6D"/>
    <w:rsid w:val="00B02E5B"/>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BB3"/>
    <w:rsid w:val="00B13003"/>
    <w:rsid w:val="00B13AA4"/>
    <w:rsid w:val="00B13B6B"/>
    <w:rsid w:val="00B14381"/>
    <w:rsid w:val="00B14883"/>
    <w:rsid w:val="00B14A66"/>
    <w:rsid w:val="00B14C1A"/>
    <w:rsid w:val="00B15097"/>
    <w:rsid w:val="00B1521D"/>
    <w:rsid w:val="00B15672"/>
    <w:rsid w:val="00B15D61"/>
    <w:rsid w:val="00B15EA4"/>
    <w:rsid w:val="00B160EF"/>
    <w:rsid w:val="00B16E35"/>
    <w:rsid w:val="00B174CB"/>
    <w:rsid w:val="00B179C7"/>
    <w:rsid w:val="00B17D65"/>
    <w:rsid w:val="00B207BF"/>
    <w:rsid w:val="00B20A89"/>
    <w:rsid w:val="00B215CC"/>
    <w:rsid w:val="00B21986"/>
    <w:rsid w:val="00B21C2E"/>
    <w:rsid w:val="00B21C95"/>
    <w:rsid w:val="00B21E2D"/>
    <w:rsid w:val="00B21FD6"/>
    <w:rsid w:val="00B22048"/>
    <w:rsid w:val="00B224EA"/>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4C20"/>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75C"/>
    <w:rsid w:val="00B419FC"/>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E70"/>
    <w:rsid w:val="00B55EED"/>
    <w:rsid w:val="00B55F25"/>
    <w:rsid w:val="00B56252"/>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E98"/>
    <w:rsid w:val="00B66499"/>
    <w:rsid w:val="00B66593"/>
    <w:rsid w:val="00B667E9"/>
    <w:rsid w:val="00B66C42"/>
    <w:rsid w:val="00B67293"/>
    <w:rsid w:val="00B67429"/>
    <w:rsid w:val="00B67545"/>
    <w:rsid w:val="00B67CD3"/>
    <w:rsid w:val="00B67CE9"/>
    <w:rsid w:val="00B67ED4"/>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A45"/>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69F4"/>
    <w:rsid w:val="00B86D60"/>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0D1"/>
    <w:rsid w:val="00BB0269"/>
    <w:rsid w:val="00BB0836"/>
    <w:rsid w:val="00BB0BAE"/>
    <w:rsid w:val="00BB184A"/>
    <w:rsid w:val="00BB1994"/>
    <w:rsid w:val="00BB1DDD"/>
    <w:rsid w:val="00BB2085"/>
    <w:rsid w:val="00BB21D5"/>
    <w:rsid w:val="00BB24A5"/>
    <w:rsid w:val="00BB2D59"/>
    <w:rsid w:val="00BB2DA7"/>
    <w:rsid w:val="00BB2ED8"/>
    <w:rsid w:val="00BB2F12"/>
    <w:rsid w:val="00BB301D"/>
    <w:rsid w:val="00BB319C"/>
    <w:rsid w:val="00BB3554"/>
    <w:rsid w:val="00BB3B54"/>
    <w:rsid w:val="00BB3D7A"/>
    <w:rsid w:val="00BB3F43"/>
    <w:rsid w:val="00BB4873"/>
    <w:rsid w:val="00BB4ACB"/>
    <w:rsid w:val="00BB4BD1"/>
    <w:rsid w:val="00BB512A"/>
    <w:rsid w:val="00BB5C88"/>
    <w:rsid w:val="00BB5C8F"/>
    <w:rsid w:val="00BB60FC"/>
    <w:rsid w:val="00BB611B"/>
    <w:rsid w:val="00BB6981"/>
    <w:rsid w:val="00BB6998"/>
    <w:rsid w:val="00BB6B56"/>
    <w:rsid w:val="00BB6D16"/>
    <w:rsid w:val="00BB6E82"/>
    <w:rsid w:val="00BB7070"/>
    <w:rsid w:val="00BB7075"/>
    <w:rsid w:val="00BB72DF"/>
    <w:rsid w:val="00BB7566"/>
    <w:rsid w:val="00BB7657"/>
    <w:rsid w:val="00BB7EDF"/>
    <w:rsid w:val="00BC0478"/>
    <w:rsid w:val="00BC04D6"/>
    <w:rsid w:val="00BC056B"/>
    <w:rsid w:val="00BC0608"/>
    <w:rsid w:val="00BC0A1E"/>
    <w:rsid w:val="00BC0B8F"/>
    <w:rsid w:val="00BC13AE"/>
    <w:rsid w:val="00BC1786"/>
    <w:rsid w:val="00BC17AC"/>
    <w:rsid w:val="00BC1D8A"/>
    <w:rsid w:val="00BC3252"/>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34B"/>
    <w:rsid w:val="00BD260E"/>
    <w:rsid w:val="00BD2DDF"/>
    <w:rsid w:val="00BD2E6F"/>
    <w:rsid w:val="00BD30CB"/>
    <w:rsid w:val="00BD3428"/>
    <w:rsid w:val="00BD35B4"/>
    <w:rsid w:val="00BD3C7F"/>
    <w:rsid w:val="00BD3FD2"/>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58B"/>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5B"/>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17FD"/>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0BEE"/>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5EA0"/>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9FE"/>
    <w:rsid w:val="00C67BF1"/>
    <w:rsid w:val="00C67EFD"/>
    <w:rsid w:val="00C704F8"/>
    <w:rsid w:val="00C70815"/>
    <w:rsid w:val="00C70FC0"/>
    <w:rsid w:val="00C7160B"/>
    <w:rsid w:val="00C71631"/>
    <w:rsid w:val="00C71665"/>
    <w:rsid w:val="00C7185F"/>
    <w:rsid w:val="00C71906"/>
    <w:rsid w:val="00C71E48"/>
    <w:rsid w:val="00C72311"/>
    <w:rsid w:val="00C723B5"/>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297"/>
    <w:rsid w:val="00C922FF"/>
    <w:rsid w:val="00C92D9F"/>
    <w:rsid w:val="00C936A8"/>
    <w:rsid w:val="00C936AA"/>
    <w:rsid w:val="00C9378A"/>
    <w:rsid w:val="00C93A2E"/>
    <w:rsid w:val="00C94146"/>
    <w:rsid w:val="00C94A10"/>
    <w:rsid w:val="00C94A15"/>
    <w:rsid w:val="00C94A37"/>
    <w:rsid w:val="00C94AAA"/>
    <w:rsid w:val="00C94DB9"/>
    <w:rsid w:val="00C95000"/>
    <w:rsid w:val="00C9529B"/>
    <w:rsid w:val="00C95392"/>
    <w:rsid w:val="00C95AF3"/>
    <w:rsid w:val="00C96004"/>
    <w:rsid w:val="00C96BED"/>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2CC"/>
    <w:rsid w:val="00CB0613"/>
    <w:rsid w:val="00CB06B9"/>
    <w:rsid w:val="00CB071C"/>
    <w:rsid w:val="00CB09B1"/>
    <w:rsid w:val="00CB0D59"/>
    <w:rsid w:val="00CB0E4E"/>
    <w:rsid w:val="00CB0F05"/>
    <w:rsid w:val="00CB1A3A"/>
    <w:rsid w:val="00CB1B38"/>
    <w:rsid w:val="00CB1BBF"/>
    <w:rsid w:val="00CB20B9"/>
    <w:rsid w:val="00CB2602"/>
    <w:rsid w:val="00CB37B7"/>
    <w:rsid w:val="00CB387E"/>
    <w:rsid w:val="00CB3CE3"/>
    <w:rsid w:val="00CB407A"/>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0A1C"/>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2B"/>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93"/>
    <w:rsid w:val="00CF12CC"/>
    <w:rsid w:val="00CF15C3"/>
    <w:rsid w:val="00CF18D9"/>
    <w:rsid w:val="00CF1985"/>
    <w:rsid w:val="00CF1B22"/>
    <w:rsid w:val="00CF1C9C"/>
    <w:rsid w:val="00CF23A0"/>
    <w:rsid w:val="00CF24B7"/>
    <w:rsid w:val="00CF2A20"/>
    <w:rsid w:val="00CF3AED"/>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564"/>
    <w:rsid w:val="00CF795B"/>
    <w:rsid w:val="00D00028"/>
    <w:rsid w:val="00D003F0"/>
    <w:rsid w:val="00D00C3D"/>
    <w:rsid w:val="00D01386"/>
    <w:rsid w:val="00D0138A"/>
    <w:rsid w:val="00D014CB"/>
    <w:rsid w:val="00D0164D"/>
    <w:rsid w:val="00D01CF0"/>
    <w:rsid w:val="00D02589"/>
    <w:rsid w:val="00D02A8A"/>
    <w:rsid w:val="00D02AEA"/>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1B5"/>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17F79"/>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8D6"/>
    <w:rsid w:val="00D24B34"/>
    <w:rsid w:val="00D24E68"/>
    <w:rsid w:val="00D2540B"/>
    <w:rsid w:val="00D26031"/>
    <w:rsid w:val="00D2674D"/>
    <w:rsid w:val="00D26ADE"/>
    <w:rsid w:val="00D26CCC"/>
    <w:rsid w:val="00D271E5"/>
    <w:rsid w:val="00D2778A"/>
    <w:rsid w:val="00D277E1"/>
    <w:rsid w:val="00D27B34"/>
    <w:rsid w:val="00D27B5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C4F"/>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5E70"/>
    <w:rsid w:val="00D460A8"/>
    <w:rsid w:val="00D46412"/>
    <w:rsid w:val="00D46BE2"/>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900"/>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224"/>
    <w:rsid w:val="00D705BD"/>
    <w:rsid w:val="00D707DD"/>
    <w:rsid w:val="00D70AA9"/>
    <w:rsid w:val="00D70FFC"/>
    <w:rsid w:val="00D71690"/>
    <w:rsid w:val="00D71719"/>
    <w:rsid w:val="00D719F9"/>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9A2"/>
    <w:rsid w:val="00D77C05"/>
    <w:rsid w:val="00D80055"/>
    <w:rsid w:val="00D806E8"/>
    <w:rsid w:val="00D80837"/>
    <w:rsid w:val="00D80CB3"/>
    <w:rsid w:val="00D80DA0"/>
    <w:rsid w:val="00D81519"/>
    <w:rsid w:val="00D8166E"/>
    <w:rsid w:val="00D81AD2"/>
    <w:rsid w:val="00D81B9C"/>
    <w:rsid w:val="00D82014"/>
    <w:rsid w:val="00D82515"/>
    <w:rsid w:val="00D82808"/>
    <w:rsid w:val="00D82BC7"/>
    <w:rsid w:val="00D82CF8"/>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5982"/>
    <w:rsid w:val="00D95A6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2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752"/>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657"/>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1F5"/>
    <w:rsid w:val="00DC02A3"/>
    <w:rsid w:val="00DC04BA"/>
    <w:rsid w:val="00DC06E4"/>
    <w:rsid w:val="00DC0E41"/>
    <w:rsid w:val="00DC0ED8"/>
    <w:rsid w:val="00DC0EE0"/>
    <w:rsid w:val="00DC10E6"/>
    <w:rsid w:val="00DC10F2"/>
    <w:rsid w:val="00DC1417"/>
    <w:rsid w:val="00DC161D"/>
    <w:rsid w:val="00DC1A47"/>
    <w:rsid w:val="00DC1F36"/>
    <w:rsid w:val="00DC27FB"/>
    <w:rsid w:val="00DC29E3"/>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B92"/>
    <w:rsid w:val="00DC7BD1"/>
    <w:rsid w:val="00DD029A"/>
    <w:rsid w:val="00DD0731"/>
    <w:rsid w:val="00DD0F4B"/>
    <w:rsid w:val="00DD10E9"/>
    <w:rsid w:val="00DD152A"/>
    <w:rsid w:val="00DD1C14"/>
    <w:rsid w:val="00DD1DC6"/>
    <w:rsid w:val="00DD204C"/>
    <w:rsid w:val="00DD25F5"/>
    <w:rsid w:val="00DD2652"/>
    <w:rsid w:val="00DD2765"/>
    <w:rsid w:val="00DD2F3B"/>
    <w:rsid w:val="00DD3770"/>
    <w:rsid w:val="00DD39B8"/>
    <w:rsid w:val="00DD43D0"/>
    <w:rsid w:val="00DD498C"/>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3EE9"/>
    <w:rsid w:val="00DE40FE"/>
    <w:rsid w:val="00DE4144"/>
    <w:rsid w:val="00DE42C1"/>
    <w:rsid w:val="00DE4EDF"/>
    <w:rsid w:val="00DE5340"/>
    <w:rsid w:val="00DE5700"/>
    <w:rsid w:val="00DE5A67"/>
    <w:rsid w:val="00DE607C"/>
    <w:rsid w:val="00DE6164"/>
    <w:rsid w:val="00DE6698"/>
    <w:rsid w:val="00DE680E"/>
    <w:rsid w:val="00DE6842"/>
    <w:rsid w:val="00DE69C5"/>
    <w:rsid w:val="00DE6BC7"/>
    <w:rsid w:val="00DE77E5"/>
    <w:rsid w:val="00DE7824"/>
    <w:rsid w:val="00DE78CE"/>
    <w:rsid w:val="00DE795D"/>
    <w:rsid w:val="00DE7F24"/>
    <w:rsid w:val="00DF012D"/>
    <w:rsid w:val="00DF02A0"/>
    <w:rsid w:val="00DF0879"/>
    <w:rsid w:val="00DF09EC"/>
    <w:rsid w:val="00DF0C6A"/>
    <w:rsid w:val="00DF11E3"/>
    <w:rsid w:val="00DF1602"/>
    <w:rsid w:val="00DF16B0"/>
    <w:rsid w:val="00DF172E"/>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64B"/>
    <w:rsid w:val="00DF4777"/>
    <w:rsid w:val="00DF4FEF"/>
    <w:rsid w:val="00DF5035"/>
    <w:rsid w:val="00DF5110"/>
    <w:rsid w:val="00DF516E"/>
    <w:rsid w:val="00DF53E9"/>
    <w:rsid w:val="00DF5626"/>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07B"/>
    <w:rsid w:val="00E1347D"/>
    <w:rsid w:val="00E13680"/>
    <w:rsid w:val="00E13804"/>
    <w:rsid w:val="00E13924"/>
    <w:rsid w:val="00E13D0F"/>
    <w:rsid w:val="00E140D8"/>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65A"/>
    <w:rsid w:val="00E177F0"/>
    <w:rsid w:val="00E1790C"/>
    <w:rsid w:val="00E20026"/>
    <w:rsid w:val="00E20269"/>
    <w:rsid w:val="00E20695"/>
    <w:rsid w:val="00E206FA"/>
    <w:rsid w:val="00E20C6E"/>
    <w:rsid w:val="00E21315"/>
    <w:rsid w:val="00E21571"/>
    <w:rsid w:val="00E21DBB"/>
    <w:rsid w:val="00E21DDA"/>
    <w:rsid w:val="00E228B3"/>
    <w:rsid w:val="00E22B61"/>
    <w:rsid w:val="00E22F60"/>
    <w:rsid w:val="00E23125"/>
    <w:rsid w:val="00E23250"/>
    <w:rsid w:val="00E2368E"/>
    <w:rsid w:val="00E23F4D"/>
    <w:rsid w:val="00E240B5"/>
    <w:rsid w:val="00E2433C"/>
    <w:rsid w:val="00E244C7"/>
    <w:rsid w:val="00E248BA"/>
    <w:rsid w:val="00E24D2A"/>
    <w:rsid w:val="00E24F0C"/>
    <w:rsid w:val="00E256E8"/>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2B01"/>
    <w:rsid w:val="00E43236"/>
    <w:rsid w:val="00E434C1"/>
    <w:rsid w:val="00E43C26"/>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DD9"/>
    <w:rsid w:val="00E67FE3"/>
    <w:rsid w:val="00E7002A"/>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382"/>
    <w:rsid w:val="00E805C0"/>
    <w:rsid w:val="00E80B86"/>
    <w:rsid w:val="00E80D2E"/>
    <w:rsid w:val="00E814A0"/>
    <w:rsid w:val="00E81C17"/>
    <w:rsid w:val="00E81CC0"/>
    <w:rsid w:val="00E826AF"/>
    <w:rsid w:val="00E828BB"/>
    <w:rsid w:val="00E82B2A"/>
    <w:rsid w:val="00E830AE"/>
    <w:rsid w:val="00E8328C"/>
    <w:rsid w:val="00E832B4"/>
    <w:rsid w:val="00E836B7"/>
    <w:rsid w:val="00E83F18"/>
    <w:rsid w:val="00E8470B"/>
    <w:rsid w:val="00E84A8F"/>
    <w:rsid w:val="00E84CDC"/>
    <w:rsid w:val="00E84D89"/>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8CB"/>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69C"/>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3DA"/>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335"/>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4DD"/>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4D"/>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A19"/>
    <w:rsid w:val="00EF3BE0"/>
    <w:rsid w:val="00EF3D1C"/>
    <w:rsid w:val="00EF4310"/>
    <w:rsid w:val="00EF4412"/>
    <w:rsid w:val="00EF46BE"/>
    <w:rsid w:val="00EF48C7"/>
    <w:rsid w:val="00EF4AC9"/>
    <w:rsid w:val="00EF4B78"/>
    <w:rsid w:val="00EF4F68"/>
    <w:rsid w:val="00EF5144"/>
    <w:rsid w:val="00EF5828"/>
    <w:rsid w:val="00EF5D8D"/>
    <w:rsid w:val="00EF68D3"/>
    <w:rsid w:val="00EF6B93"/>
    <w:rsid w:val="00EF6BE6"/>
    <w:rsid w:val="00EF6D52"/>
    <w:rsid w:val="00EF7468"/>
    <w:rsid w:val="00EF7A28"/>
    <w:rsid w:val="00EF7BED"/>
    <w:rsid w:val="00F00159"/>
    <w:rsid w:val="00F001C1"/>
    <w:rsid w:val="00F00749"/>
    <w:rsid w:val="00F00C09"/>
    <w:rsid w:val="00F00D62"/>
    <w:rsid w:val="00F012F1"/>
    <w:rsid w:val="00F019DD"/>
    <w:rsid w:val="00F026E3"/>
    <w:rsid w:val="00F02F2F"/>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352"/>
    <w:rsid w:val="00F251D8"/>
    <w:rsid w:val="00F25A95"/>
    <w:rsid w:val="00F25C21"/>
    <w:rsid w:val="00F25C36"/>
    <w:rsid w:val="00F25C76"/>
    <w:rsid w:val="00F2600A"/>
    <w:rsid w:val="00F26065"/>
    <w:rsid w:val="00F26670"/>
    <w:rsid w:val="00F2693A"/>
    <w:rsid w:val="00F26BB9"/>
    <w:rsid w:val="00F270C3"/>
    <w:rsid w:val="00F274CC"/>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7D7"/>
    <w:rsid w:val="00F53BE5"/>
    <w:rsid w:val="00F541E4"/>
    <w:rsid w:val="00F5468E"/>
    <w:rsid w:val="00F55151"/>
    <w:rsid w:val="00F551CA"/>
    <w:rsid w:val="00F55724"/>
    <w:rsid w:val="00F55954"/>
    <w:rsid w:val="00F55CB3"/>
    <w:rsid w:val="00F55E3E"/>
    <w:rsid w:val="00F56490"/>
    <w:rsid w:val="00F56A32"/>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336"/>
    <w:rsid w:val="00F63733"/>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588"/>
    <w:rsid w:val="00F73619"/>
    <w:rsid w:val="00F7422E"/>
    <w:rsid w:val="00F742F9"/>
    <w:rsid w:val="00F749EC"/>
    <w:rsid w:val="00F752E2"/>
    <w:rsid w:val="00F75702"/>
    <w:rsid w:val="00F75B2A"/>
    <w:rsid w:val="00F75B9D"/>
    <w:rsid w:val="00F76193"/>
    <w:rsid w:val="00F77049"/>
    <w:rsid w:val="00F77167"/>
    <w:rsid w:val="00F773BF"/>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B72"/>
    <w:rsid w:val="00F85233"/>
    <w:rsid w:val="00F85DE0"/>
    <w:rsid w:val="00F86C68"/>
    <w:rsid w:val="00F87011"/>
    <w:rsid w:val="00F873BD"/>
    <w:rsid w:val="00F8744B"/>
    <w:rsid w:val="00F8781C"/>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E8B"/>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5DD4"/>
    <w:rsid w:val="00FA614C"/>
    <w:rsid w:val="00FA637E"/>
    <w:rsid w:val="00FA679B"/>
    <w:rsid w:val="00FA681C"/>
    <w:rsid w:val="00FA695A"/>
    <w:rsid w:val="00FA6BE0"/>
    <w:rsid w:val="00FA6C89"/>
    <w:rsid w:val="00FA6CE3"/>
    <w:rsid w:val="00FA76B7"/>
    <w:rsid w:val="00FA7E94"/>
    <w:rsid w:val="00FB00C9"/>
    <w:rsid w:val="00FB084B"/>
    <w:rsid w:val="00FB0B58"/>
    <w:rsid w:val="00FB0C32"/>
    <w:rsid w:val="00FB0E87"/>
    <w:rsid w:val="00FB0F06"/>
    <w:rsid w:val="00FB133A"/>
    <w:rsid w:val="00FB135D"/>
    <w:rsid w:val="00FB1AB2"/>
    <w:rsid w:val="00FB1AFA"/>
    <w:rsid w:val="00FB21D8"/>
    <w:rsid w:val="00FB23E1"/>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3E8"/>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D39"/>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263"/>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194A"/>
    <w:rsid w:val="00FF2240"/>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 w:val="0EF10234"/>
    <w:rsid w:val="177573F0"/>
    <w:rsid w:val="19013A9C"/>
    <w:rsid w:val="3A475179"/>
    <w:rsid w:val="4CDF0CF5"/>
    <w:rsid w:val="64086296"/>
    <w:rsid w:val="7F5A0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qFormat="1" w:uiPriority="99"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86"/>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48"/>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32">
    <w:name w:val="Default Paragraph Font"/>
    <w:semiHidden/>
    <w:unhideWhenUsed/>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49"/>
    <w:qFormat/>
    <w:uiPriority w:val="0"/>
    <w:pPr>
      <w:spacing w:after="120"/>
      <w:jc w:val="both"/>
    </w:pPr>
    <w:rPr>
      <w:rFonts w:eastAsia="MS Mincho"/>
    </w:rPr>
  </w:style>
  <w:style w:type="paragraph" w:styleId="12">
    <w:name w:val="List 3"/>
    <w:basedOn w:val="1"/>
    <w:semiHidden/>
    <w:unhideWhenUsed/>
    <w:qFormat/>
    <w:uiPriority w:val="0"/>
    <w:pPr>
      <w:ind w:left="100" w:leftChars="400" w:hanging="200" w:hangingChars="200"/>
      <w:contextualSpacing/>
    </w:pPr>
  </w:style>
  <w:style w:type="paragraph" w:styleId="13">
    <w:name w:val="Normal Indent"/>
    <w:basedOn w:val="1"/>
    <w:unhideWhenUsed/>
    <w:qFormat/>
    <w:uiPriority w:val="99"/>
    <w:pPr>
      <w:widowControl w:val="0"/>
      <w:ind w:left="720"/>
      <w:jc w:val="both"/>
    </w:pPr>
    <w:rPr>
      <w:rFonts w:eastAsia="宋体"/>
      <w:kern w:val="2"/>
      <w:sz w:val="21"/>
      <w:lang w:eastAsia="zh-CN"/>
    </w:rPr>
  </w:style>
  <w:style w:type="paragraph" w:styleId="14">
    <w:name w:val="caption"/>
    <w:basedOn w:val="1"/>
    <w:next w:val="1"/>
    <w:link w:val="35"/>
    <w:qFormat/>
    <w:uiPriority w:val="35"/>
    <w:pPr>
      <w:overflowPunct w:val="0"/>
      <w:autoSpaceDE w:val="0"/>
      <w:autoSpaceDN w:val="0"/>
      <w:adjustRightInd w:val="0"/>
      <w:spacing w:before="120" w:after="120"/>
      <w:textAlignment w:val="baseline"/>
    </w:pPr>
    <w:rPr>
      <w:szCs w:val="20"/>
      <w:lang w:val="en-GB"/>
    </w:rPr>
  </w:style>
  <w:style w:type="paragraph" w:styleId="15">
    <w:name w:val="Document Map"/>
    <w:basedOn w:val="1"/>
    <w:semiHidden/>
    <w:qFormat/>
    <w:uiPriority w:val="0"/>
    <w:pPr>
      <w:shd w:val="clear" w:color="auto" w:fill="000080"/>
    </w:pPr>
  </w:style>
  <w:style w:type="paragraph" w:styleId="16">
    <w:name w:val="annotation text"/>
    <w:basedOn w:val="1"/>
    <w:link w:val="71"/>
    <w:qFormat/>
    <w:uiPriority w:val="99"/>
  </w:style>
  <w:style w:type="paragraph" w:styleId="17">
    <w:name w:val="List 2"/>
    <w:basedOn w:val="18"/>
    <w:qFormat/>
    <w:uiPriority w:val="0"/>
    <w:pPr>
      <w:numPr>
        <w:ilvl w:val="0"/>
        <w:numId w:val="1"/>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toc 3"/>
    <w:basedOn w:val="1"/>
    <w:next w:val="1"/>
    <w:unhideWhenUsed/>
    <w:qFormat/>
    <w:uiPriority w:val="39"/>
    <w:pPr>
      <w:spacing w:after="100" w:line="259" w:lineRule="auto"/>
      <w:ind w:left="440"/>
    </w:pPr>
    <w:rPr>
      <w:rFonts w:asciiTheme="minorHAnsi" w:hAnsiTheme="minorHAnsi" w:eastAsiaTheme="minorEastAsia"/>
      <w:sz w:val="22"/>
      <w:szCs w:val="22"/>
    </w:rPr>
  </w:style>
  <w:style w:type="paragraph" w:styleId="20">
    <w:name w:val="toc 8"/>
    <w:basedOn w:val="21"/>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1">
    <w:name w:val="toc 1"/>
    <w:basedOn w:val="1"/>
    <w:next w:val="1"/>
    <w:qFormat/>
    <w:uiPriority w:val="39"/>
  </w:style>
  <w:style w:type="paragraph" w:styleId="22">
    <w:name w:val="Balloon Text"/>
    <w:basedOn w:val="1"/>
    <w:semiHidden/>
    <w:qFormat/>
    <w:uiPriority w:val="0"/>
    <w:rPr>
      <w:sz w:val="18"/>
      <w:szCs w:val="18"/>
    </w:rPr>
  </w:style>
  <w:style w:type="paragraph" w:styleId="23">
    <w:name w:val="footer"/>
    <w:basedOn w:val="1"/>
    <w:qFormat/>
    <w:uiPriority w:val="0"/>
    <w:pPr>
      <w:tabs>
        <w:tab w:val="center" w:pos="4153"/>
        <w:tab w:val="right" w:pos="8306"/>
      </w:tabs>
      <w:snapToGrid w:val="0"/>
    </w:pPr>
    <w:rPr>
      <w:sz w:val="18"/>
      <w:szCs w:val="18"/>
    </w:rPr>
  </w:style>
  <w:style w:type="paragraph" w:styleId="24">
    <w:name w:val="header"/>
    <w:basedOn w:val="1"/>
    <w:link w:val="55"/>
    <w:qFormat/>
    <w:uiPriority w:val="0"/>
    <w:pPr>
      <w:tabs>
        <w:tab w:val="center" w:pos="4536"/>
        <w:tab w:val="right" w:pos="9072"/>
      </w:tabs>
    </w:pPr>
    <w:rPr>
      <w:rFonts w:ascii="Arial" w:hAnsi="Arial" w:eastAsia="MS Mincho"/>
      <w:b/>
    </w:rPr>
  </w:style>
  <w:style w:type="paragraph" w:styleId="25">
    <w:name w:val="List 5"/>
    <w:basedOn w:val="1"/>
    <w:qFormat/>
    <w:uiPriority w:val="0"/>
    <w:pPr>
      <w:ind w:left="1415" w:hanging="283"/>
      <w:contextualSpacing/>
    </w:pPr>
  </w:style>
  <w:style w:type="paragraph" w:styleId="26">
    <w:name w:val="toc 2"/>
    <w:basedOn w:val="1"/>
    <w:next w:val="1"/>
    <w:unhideWhenUsed/>
    <w:qFormat/>
    <w:uiPriority w:val="39"/>
    <w:pPr>
      <w:spacing w:after="100" w:line="259" w:lineRule="auto"/>
      <w:ind w:left="220"/>
    </w:pPr>
    <w:rPr>
      <w:rFonts w:asciiTheme="minorHAnsi" w:hAnsiTheme="minorHAnsi" w:eastAsiaTheme="minorEastAsia"/>
      <w:sz w:val="22"/>
      <w:szCs w:val="22"/>
    </w:rPr>
  </w:style>
  <w:style w:type="paragraph" w:styleId="27">
    <w:name w:val="List 4"/>
    <w:basedOn w:val="1"/>
    <w:qFormat/>
    <w:uiPriority w:val="0"/>
    <w:pPr>
      <w:ind w:left="1132" w:hanging="283"/>
      <w:contextualSpacing/>
    </w:pPr>
  </w:style>
  <w:style w:type="paragraph" w:styleId="28">
    <w:name w:val="Normal (Web)"/>
    <w:basedOn w:val="1"/>
    <w:unhideWhenUsed/>
    <w:qFormat/>
    <w:uiPriority w:val="99"/>
    <w:pPr>
      <w:spacing w:before="100" w:beforeAutospacing="1" w:after="100" w:afterAutospacing="1"/>
    </w:pPr>
    <w:rPr>
      <w:rFonts w:eastAsia="宋体"/>
      <w:sz w:val="24"/>
      <w:lang w:val="sv-SE" w:eastAsia="sv-SE"/>
    </w:rPr>
  </w:style>
  <w:style w:type="paragraph" w:styleId="29">
    <w:name w:val="annotation subject"/>
    <w:basedOn w:val="16"/>
    <w:next w:val="16"/>
    <w:semiHidden/>
    <w:qFormat/>
    <w:uiPriority w:val="0"/>
    <w:rPr>
      <w:b/>
      <w:bCs/>
    </w:rPr>
  </w:style>
  <w:style w:type="table" w:styleId="31">
    <w:name w:val="Table Grid"/>
    <w:basedOn w:val="3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Hyperlink"/>
    <w:qFormat/>
    <w:uiPriority w:val="99"/>
    <w:rPr>
      <w:color w:val="0000FF"/>
      <w:u w:val="single"/>
    </w:rPr>
  </w:style>
  <w:style w:type="character" w:styleId="34">
    <w:name w:val="annotation reference"/>
    <w:qFormat/>
    <w:uiPriority w:val="99"/>
    <w:rPr>
      <w:sz w:val="21"/>
      <w:szCs w:val="21"/>
    </w:rPr>
  </w:style>
  <w:style w:type="character" w:customStyle="1" w:styleId="35">
    <w:name w:val="Caption Char"/>
    <w:link w:val="14"/>
    <w:qFormat/>
    <w:uiPriority w:val="35"/>
    <w:rPr>
      <w:lang w:val="en-GB" w:eastAsia="en-US" w:bidi="ar-SA"/>
    </w:rPr>
  </w:style>
  <w:style w:type="paragraph" w:customStyle="1" w:styleId="36">
    <w:name w:val="TAC"/>
    <w:basedOn w:val="1"/>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7">
    <w:name w:val="TAL"/>
    <w:basedOn w:val="1"/>
    <w:link w:val="97"/>
    <w:qFormat/>
    <w:uiPriority w:val="0"/>
    <w:pPr>
      <w:keepNext/>
      <w:keepLines/>
    </w:pPr>
    <w:rPr>
      <w:rFonts w:ascii="Arial" w:hAnsi="Arial"/>
      <w:sz w:val="18"/>
      <w:szCs w:val="20"/>
      <w:lang w:val="en-GB"/>
    </w:rPr>
  </w:style>
  <w:style w:type="paragraph" w:customStyle="1" w:styleId="38">
    <w:name w:val="TAH"/>
    <w:basedOn w:val="1"/>
    <w:qFormat/>
    <w:uiPriority w:val="0"/>
    <w:pPr>
      <w:keepNext/>
      <w:keepLines/>
      <w:jc w:val="center"/>
    </w:pPr>
    <w:rPr>
      <w:rFonts w:ascii="Arial" w:hAnsi="Arial"/>
      <w:b/>
      <w:sz w:val="18"/>
      <w:szCs w:val="20"/>
      <w:lang w:val="en-GB"/>
    </w:rPr>
  </w:style>
  <w:style w:type="paragraph" w:customStyle="1" w:styleId="39">
    <w:name w:val="TH"/>
    <w:basedOn w:val="1"/>
    <w:link w:val="66"/>
    <w:qFormat/>
    <w:uiPriority w:val="0"/>
    <w:pPr>
      <w:keepNext/>
      <w:keepLines/>
      <w:spacing w:before="60" w:after="180"/>
      <w:jc w:val="center"/>
    </w:pPr>
    <w:rPr>
      <w:rFonts w:ascii="Arial" w:hAnsi="Arial"/>
      <w:b/>
      <w:szCs w:val="20"/>
      <w:lang w:val="en-GB"/>
    </w:rPr>
  </w:style>
  <w:style w:type="paragraph" w:customStyle="1" w:styleId="40">
    <w:name w:val="TF"/>
    <w:basedOn w:val="39"/>
    <w:qFormat/>
    <w:uiPriority w:val="0"/>
    <w:pPr>
      <w:keepNext w:val="0"/>
      <w:spacing w:before="0" w:after="240"/>
    </w:pPr>
  </w:style>
  <w:style w:type="paragraph" w:customStyle="1" w:styleId="41">
    <w:name w:val="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2">
    <w:name w:val="Char Char1 Char Char"/>
    <w:basedOn w:val="1"/>
    <w:qFormat/>
    <w:uiPriority w:val="0"/>
    <w:rPr>
      <w:rFonts w:ascii="Times" w:hAnsi="Times"/>
      <w:sz w:val="22"/>
      <w:szCs w:val="20"/>
    </w:rPr>
  </w:style>
  <w:style w:type="paragraph" w:customStyle="1" w:styleId="43">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4">
    <w:name w:val="Tdoc_Heading_1"/>
    <w:basedOn w:val="2"/>
    <w:next w:val="3"/>
    <w:qFormat/>
    <w:uiPriority w:val="0"/>
    <w:pPr>
      <w:numPr>
        <w:ilvl w:val="0"/>
        <w:numId w:val="2"/>
      </w:numPr>
      <w:spacing w:before="240"/>
      <w:ind w:left="357" w:hanging="357"/>
      <w:jc w:val="both"/>
    </w:pPr>
    <w:rPr>
      <w:rFonts w:eastAsia="Batang" w:cs="Times New Roman"/>
      <w:bCs w:val="0"/>
      <w:kern w:val="28"/>
      <w:sz w:val="24"/>
      <w:szCs w:val="20"/>
      <w:lang w:eastAsia="en-US"/>
    </w:rPr>
  </w:style>
  <w:style w:type="paragraph" w:customStyle="1" w:styleId="45">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6">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
    <w:name w:val="Heading 3 Char"/>
    <w:link w:val="5"/>
    <w:qFormat/>
    <w:uiPriority w:val="0"/>
    <w:rPr>
      <w:rFonts w:ascii="Arial" w:hAnsi="Arial" w:eastAsia="MS Mincho" w:cs="Arial"/>
      <w:b/>
      <w:bCs/>
      <w:sz w:val="26"/>
      <w:szCs w:val="26"/>
      <w:lang w:eastAsia="en-US"/>
    </w:rPr>
  </w:style>
  <w:style w:type="character" w:customStyle="1" w:styleId="49">
    <w:name w:val="Body Text Char"/>
    <w:link w:val="3"/>
    <w:qFormat/>
    <w:uiPriority w:val="0"/>
    <w:rPr>
      <w:rFonts w:eastAsia="MS Mincho"/>
      <w:szCs w:val="24"/>
      <w:lang w:val="en-US" w:eastAsia="en-US" w:bidi="ar-SA"/>
    </w:rPr>
  </w:style>
  <w:style w:type="paragraph" w:customStyle="1" w:styleId="50">
    <w:name w:val="Char Char Char 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1">
    <w:name w:val="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2">
    <w:name w:val="LGTdoc_본문"/>
    <w:basedOn w:val="1"/>
    <w:link w:val="53"/>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3">
    <w:name w:val="LGTdoc_본문 Char"/>
    <w:link w:val="52"/>
    <w:qFormat/>
    <w:uiPriority w:val="0"/>
    <w:rPr>
      <w:rFonts w:eastAsia="Batang"/>
      <w:kern w:val="2"/>
      <w:sz w:val="22"/>
      <w:szCs w:val="24"/>
      <w:lang w:val="en-GB" w:eastAsia="ko-KR" w:bidi="ar-SA"/>
    </w:rPr>
  </w:style>
  <w:style w:type="paragraph" w:customStyle="1" w:styleId="54">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5">
    <w:name w:val="Header Char"/>
    <w:link w:val="24"/>
    <w:qFormat/>
    <w:uiPriority w:val="99"/>
    <w:rPr>
      <w:rFonts w:ascii="Arial" w:hAnsi="Arial" w:eastAsia="MS Mincho"/>
      <w:b/>
      <w:szCs w:val="24"/>
      <w:lang w:val="en-US" w:eastAsia="en-US" w:bidi="ar-SA"/>
    </w:rPr>
  </w:style>
  <w:style w:type="character" w:customStyle="1" w:styleId="56">
    <w:name w:val="bt Char"/>
    <w:qFormat/>
    <w:uiPriority w:val="0"/>
    <w:rPr>
      <w:rFonts w:ascii="Arial" w:hAnsi="Arial" w:eastAsia="MS Mincho" w:cs="Arial"/>
      <w:color w:val="0000FF"/>
      <w:kern w:val="2"/>
      <w:szCs w:val="24"/>
      <w:lang w:val="en-US" w:eastAsia="en-US" w:bidi="ar-SA"/>
    </w:rPr>
  </w:style>
  <w:style w:type="paragraph" w:customStyle="1" w:styleId="57">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8">
    <w:name w:val="apple-converted-space"/>
    <w:basedOn w:val="32"/>
    <w:qFormat/>
    <w:uiPriority w:val="0"/>
  </w:style>
  <w:style w:type="paragraph" w:customStyle="1" w:styleId="59">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60">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61">
    <w:name w:val="List Paragraph"/>
    <w:basedOn w:val="1"/>
    <w:link w:val="84"/>
    <w:qFormat/>
    <w:uiPriority w:val="34"/>
    <w:pPr>
      <w:widowControl w:val="0"/>
      <w:ind w:firstLine="420" w:firstLineChars="200"/>
      <w:jc w:val="both"/>
    </w:pPr>
    <w:rPr>
      <w:rFonts w:ascii="Calibri" w:hAnsi="Calibri" w:eastAsia="宋体"/>
      <w:kern w:val="2"/>
      <w:sz w:val="21"/>
      <w:szCs w:val="22"/>
      <w:lang w:eastAsia="zh-CN"/>
    </w:rPr>
  </w:style>
  <w:style w:type="paragraph" w:customStyle="1" w:styleId="62">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63">
    <w:name w:val="B1"/>
    <w:basedOn w:val="18"/>
    <w:link w:val="65"/>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64">
    <w:name w:val="B2"/>
    <w:basedOn w:val="17"/>
    <w:link w:val="79"/>
    <w:qFormat/>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5">
    <w:name w:val="B1 (文字)"/>
    <w:link w:val="63"/>
    <w:qFormat/>
    <w:uiPriority w:val="0"/>
    <w:rPr>
      <w:rFonts w:eastAsia="Times New Roman"/>
      <w:lang w:val="en-GB" w:eastAsia="en-GB"/>
    </w:rPr>
  </w:style>
  <w:style w:type="character" w:customStyle="1" w:styleId="66">
    <w:name w:val="TH Char"/>
    <w:link w:val="39"/>
    <w:qFormat/>
    <w:uiPriority w:val="0"/>
    <w:rPr>
      <w:rFonts w:ascii="Arial" w:hAnsi="Arial" w:eastAsia="Times New Roman"/>
      <w:b/>
      <w:lang w:val="en-GB" w:eastAsia="en-US"/>
    </w:rPr>
  </w:style>
  <w:style w:type="paragraph" w:customStyle="1" w:styleId="67">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8">
    <w:name w:val="Doc-text2"/>
    <w:basedOn w:val="1"/>
    <w:link w:val="69"/>
    <w:qFormat/>
    <w:uiPriority w:val="0"/>
    <w:pPr>
      <w:tabs>
        <w:tab w:val="left" w:pos="1622"/>
      </w:tabs>
      <w:ind w:left="1622" w:hanging="363"/>
    </w:pPr>
    <w:rPr>
      <w:rFonts w:ascii="Arial" w:hAnsi="Arial" w:eastAsia="MS Mincho"/>
      <w:lang w:val="en-GB" w:eastAsia="en-GB"/>
    </w:rPr>
  </w:style>
  <w:style w:type="character" w:customStyle="1" w:styleId="69">
    <w:name w:val="Doc-text2 Char"/>
    <w:link w:val="68"/>
    <w:qFormat/>
    <w:uiPriority w:val="0"/>
    <w:rPr>
      <w:rFonts w:ascii="Arial" w:hAnsi="Arial" w:eastAsia="MS Mincho"/>
      <w:szCs w:val="24"/>
      <w:lang w:val="en-GB" w:eastAsia="en-GB"/>
    </w:rPr>
  </w:style>
  <w:style w:type="paragraph" w:customStyle="1" w:styleId="70">
    <w:name w:val="Revision1"/>
    <w:hidden/>
    <w:semiHidden/>
    <w:qFormat/>
    <w:uiPriority w:val="99"/>
    <w:rPr>
      <w:rFonts w:ascii="Times New Roman" w:hAnsi="Times New Roman" w:eastAsia="Times New Roman" w:cs="Times New Roman"/>
      <w:szCs w:val="24"/>
      <w:lang w:val="en-US" w:eastAsia="en-US" w:bidi="ar-SA"/>
    </w:rPr>
  </w:style>
  <w:style w:type="character" w:customStyle="1" w:styleId="71">
    <w:name w:val="Comment Text Char"/>
    <w:link w:val="16"/>
    <w:qFormat/>
    <w:uiPriority w:val="99"/>
    <w:rPr>
      <w:rFonts w:eastAsia="Times New Roman"/>
      <w:szCs w:val="24"/>
      <w:lang w:eastAsia="en-US"/>
    </w:rPr>
  </w:style>
  <w:style w:type="character" w:customStyle="1" w:styleId="72">
    <w:name w:val="B1 Char1"/>
    <w:qFormat/>
    <w:uiPriority w:val="0"/>
    <w:rPr>
      <w:rFonts w:eastAsia="Times New Roman"/>
      <w:lang w:eastAsia="ja-JP"/>
    </w:rPr>
  </w:style>
  <w:style w:type="paragraph" w:customStyle="1" w:styleId="73">
    <w:name w:val="PL"/>
    <w:link w:val="7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74">
    <w:name w:val="PL Char"/>
    <w:link w:val="73"/>
    <w:qFormat/>
    <w:uiPriority w:val="0"/>
    <w:rPr>
      <w:rFonts w:ascii="Courier New" w:hAnsi="Courier New" w:eastAsia="Batang"/>
      <w:sz w:val="16"/>
      <w:shd w:val="clear" w:color="auto" w:fill="E6E6E6"/>
      <w:lang w:val="en-GB" w:eastAsia="sv-SE"/>
    </w:rPr>
  </w:style>
  <w:style w:type="paragraph" w:customStyle="1" w:styleId="75">
    <w:name w:val="NO"/>
    <w:basedOn w:val="1"/>
    <w:link w:val="76"/>
    <w:qFormat/>
    <w:uiPriority w:val="0"/>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76">
    <w:name w:val="NO Char"/>
    <w:link w:val="75"/>
    <w:qFormat/>
    <w:uiPriority w:val="0"/>
    <w:rPr>
      <w:rFonts w:eastAsia="Times New Roman"/>
      <w:lang w:val="en-GB" w:eastAsia="ja-JP"/>
    </w:rPr>
  </w:style>
  <w:style w:type="paragraph" w:customStyle="1" w:styleId="77">
    <w:name w:val="Editor's Note"/>
    <w:basedOn w:val="75"/>
    <w:link w:val="78"/>
    <w:qFormat/>
    <w:uiPriority w:val="0"/>
    <w:rPr>
      <w:color w:val="FF0000"/>
    </w:rPr>
  </w:style>
  <w:style w:type="character" w:customStyle="1" w:styleId="78">
    <w:name w:val="Editor's Note Char"/>
    <w:link w:val="77"/>
    <w:qFormat/>
    <w:uiPriority w:val="0"/>
    <w:rPr>
      <w:rFonts w:eastAsia="Times New Roman"/>
      <w:color w:val="FF0000"/>
      <w:lang w:val="en-GB" w:eastAsia="ja-JP"/>
    </w:rPr>
  </w:style>
  <w:style w:type="character" w:customStyle="1" w:styleId="79">
    <w:name w:val="B2 Char"/>
    <w:link w:val="64"/>
    <w:qFormat/>
    <w:uiPriority w:val="0"/>
    <w:rPr>
      <w:rFonts w:eastAsia="Times New Roman"/>
      <w:lang w:val="en-GB" w:eastAsia="en-GB"/>
    </w:rPr>
  </w:style>
  <w:style w:type="paragraph" w:customStyle="1" w:styleId="80">
    <w:name w:val="B3"/>
    <w:basedOn w:val="12"/>
    <w:link w:val="81"/>
    <w:qFormat/>
    <w:uiPriority w:val="0"/>
    <w:pPr>
      <w:overflowPunct w:val="0"/>
      <w:autoSpaceDE w:val="0"/>
      <w:autoSpaceDN w:val="0"/>
      <w:adjustRightInd w:val="0"/>
      <w:spacing w:after="180"/>
      <w:ind w:left="1135" w:leftChars="0" w:hanging="284" w:firstLineChars="0"/>
      <w:contextualSpacing w:val="0"/>
      <w:textAlignment w:val="baseline"/>
    </w:pPr>
    <w:rPr>
      <w:szCs w:val="20"/>
      <w:lang w:val="en-GB" w:eastAsia="ja-JP"/>
    </w:rPr>
  </w:style>
  <w:style w:type="character" w:customStyle="1" w:styleId="81">
    <w:name w:val="B3 Char2"/>
    <w:link w:val="80"/>
    <w:qFormat/>
    <w:uiPriority w:val="0"/>
    <w:rPr>
      <w:rFonts w:eastAsia="Times New Roman"/>
      <w:lang w:val="en-GB" w:eastAsia="ja-JP"/>
    </w:rPr>
  </w:style>
  <w:style w:type="paragraph" w:customStyle="1" w:styleId="82">
    <w:name w:val="Doc-title"/>
    <w:basedOn w:val="1"/>
    <w:next w:val="68"/>
    <w:link w:val="83"/>
    <w:qFormat/>
    <w:uiPriority w:val="0"/>
    <w:pPr>
      <w:spacing w:before="60"/>
      <w:ind w:left="1259" w:hanging="1259"/>
    </w:pPr>
    <w:rPr>
      <w:rFonts w:ascii="Arial" w:hAnsi="Arial" w:eastAsia="MS Mincho"/>
      <w:lang w:val="en-GB" w:eastAsia="en-GB"/>
    </w:rPr>
  </w:style>
  <w:style w:type="character" w:customStyle="1" w:styleId="83">
    <w:name w:val="Doc-title Char"/>
    <w:link w:val="82"/>
    <w:qFormat/>
    <w:uiPriority w:val="0"/>
    <w:rPr>
      <w:rFonts w:ascii="Arial" w:hAnsi="Arial" w:eastAsia="MS Mincho"/>
      <w:szCs w:val="24"/>
      <w:lang w:val="en-GB" w:eastAsia="en-GB"/>
    </w:rPr>
  </w:style>
  <w:style w:type="character" w:customStyle="1" w:styleId="84">
    <w:name w:val="List Paragraph Char"/>
    <w:link w:val="61"/>
    <w:qFormat/>
    <w:locked/>
    <w:uiPriority w:val="34"/>
    <w:rPr>
      <w:rFonts w:ascii="Calibri" w:hAnsi="Calibri"/>
      <w:kern w:val="2"/>
      <w:sz w:val="21"/>
      <w:szCs w:val="22"/>
    </w:rPr>
  </w:style>
  <w:style w:type="paragraph" w:customStyle="1" w:styleId="85">
    <w:name w:val="References"/>
    <w:basedOn w:val="1"/>
    <w:qFormat/>
    <w:uiPriority w:val="0"/>
    <w:pPr>
      <w:tabs>
        <w:tab w:val="left" w:pos="643"/>
      </w:tabs>
      <w:autoSpaceDE w:val="0"/>
      <w:autoSpaceDN w:val="0"/>
      <w:snapToGrid w:val="0"/>
      <w:spacing w:after="60"/>
      <w:ind w:left="643" w:hanging="360"/>
      <w:jc w:val="both"/>
    </w:pPr>
    <w:rPr>
      <w:rFonts w:eastAsia="宋体"/>
      <w:szCs w:val="16"/>
    </w:rPr>
  </w:style>
  <w:style w:type="character" w:customStyle="1" w:styleId="86">
    <w:name w:val="Heading 2 Char"/>
    <w:link w:val="4"/>
    <w:qFormat/>
    <w:uiPriority w:val="0"/>
    <w:rPr>
      <w:rFonts w:ascii="Arial" w:hAnsi="Arial" w:eastAsia="MS Mincho" w:cs="Arial"/>
      <w:b/>
      <w:bCs/>
      <w:iCs/>
      <w:szCs w:val="28"/>
    </w:rPr>
  </w:style>
  <w:style w:type="character" w:customStyle="1" w:styleId="87">
    <w:name w:val="列出段落 字符"/>
    <w:qFormat/>
    <w:uiPriority w:val="34"/>
    <w:rPr>
      <w:rFonts w:ascii="Times" w:hAnsi="Times"/>
      <w:szCs w:val="24"/>
      <w:lang w:val="en-GB"/>
    </w:rPr>
  </w:style>
  <w:style w:type="paragraph" w:customStyle="1" w:styleId="88">
    <w:name w:val="Guidance"/>
    <w:basedOn w:val="1"/>
    <w:qFormat/>
    <w:uiPriority w:val="0"/>
    <w:pPr>
      <w:overflowPunct w:val="0"/>
      <w:autoSpaceDE w:val="0"/>
      <w:autoSpaceDN w:val="0"/>
      <w:adjustRightInd w:val="0"/>
      <w:spacing w:after="180"/>
      <w:textAlignment w:val="baseline"/>
    </w:pPr>
    <w:rPr>
      <w:i/>
      <w:color w:val="0000FF"/>
      <w:szCs w:val="20"/>
      <w:lang w:val="en-GB" w:eastAsia="ja-JP"/>
    </w:rPr>
  </w:style>
  <w:style w:type="character" w:customStyle="1" w:styleId="89">
    <w:name w:val="ZGSM"/>
    <w:qFormat/>
    <w:uiPriority w:val="0"/>
  </w:style>
  <w:style w:type="character" w:customStyle="1" w:styleId="90">
    <w:name w:val="批注文字 字符"/>
    <w:semiHidden/>
    <w:qFormat/>
    <w:uiPriority w:val="99"/>
    <w:rPr>
      <w:kern w:val="2"/>
      <w:sz w:val="21"/>
      <w:szCs w:val="24"/>
    </w:rPr>
  </w:style>
  <w:style w:type="paragraph" w:customStyle="1" w:styleId="91">
    <w:name w:val="B4"/>
    <w:basedOn w:val="27"/>
    <w:link w:val="96"/>
    <w:qFormat/>
    <w:uiPriority w:val="0"/>
    <w:pPr>
      <w:spacing w:after="180"/>
      <w:ind w:left="1418" w:hanging="284"/>
      <w:contextualSpacing w:val="0"/>
    </w:pPr>
    <w:rPr>
      <w:rFonts w:eastAsia="宋体"/>
      <w:szCs w:val="20"/>
      <w:lang w:val="en-GB"/>
    </w:rPr>
  </w:style>
  <w:style w:type="paragraph" w:customStyle="1" w:styleId="92">
    <w:name w:val="B5"/>
    <w:basedOn w:val="25"/>
    <w:link w:val="95"/>
    <w:qFormat/>
    <w:uiPriority w:val="0"/>
    <w:pPr>
      <w:spacing w:after="180"/>
      <w:ind w:left="1702" w:hanging="284"/>
      <w:contextualSpacing w:val="0"/>
    </w:pPr>
    <w:rPr>
      <w:rFonts w:eastAsia="宋体"/>
      <w:szCs w:val="20"/>
      <w:lang w:val="en-GB"/>
    </w:rPr>
  </w:style>
  <w:style w:type="character" w:customStyle="1" w:styleId="93">
    <w:name w:val="B1 Char"/>
    <w:qFormat/>
    <w:uiPriority w:val="0"/>
    <w:rPr>
      <w:rFonts w:ascii="Times New Roman" w:hAnsi="Times New Roman"/>
      <w:lang w:val="en-GB" w:eastAsia="en-US"/>
    </w:rPr>
  </w:style>
  <w:style w:type="character" w:customStyle="1" w:styleId="94">
    <w:name w:val="B3 Char"/>
    <w:qFormat/>
    <w:uiPriority w:val="0"/>
    <w:rPr>
      <w:rFonts w:ascii="Times New Roman" w:hAnsi="Times New Roman"/>
      <w:lang w:val="en-GB" w:eastAsia="en-US"/>
    </w:rPr>
  </w:style>
  <w:style w:type="character" w:customStyle="1" w:styleId="95">
    <w:name w:val="B5 Char"/>
    <w:link w:val="92"/>
    <w:qFormat/>
    <w:uiPriority w:val="0"/>
    <w:rPr>
      <w:lang w:val="en-GB" w:eastAsia="en-US"/>
    </w:rPr>
  </w:style>
  <w:style w:type="character" w:customStyle="1" w:styleId="96">
    <w:name w:val="B4 Char"/>
    <w:link w:val="91"/>
    <w:qFormat/>
    <w:uiPriority w:val="0"/>
    <w:rPr>
      <w:lang w:val="en-GB" w:eastAsia="en-US"/>
    </w:rPr>
  </w:style>
  <w:style w:type="character" w:customStyle="1" w:styleId="97">
    <w:name w:val="TAL Car"/>
    <w:link w:val="37"/>
    <w:qFormat/>
    <w:uiPriority w:val="0"/>
    <w:rPr>
      <w:rFonts w:ascii="Arial" w:hAnsi="Arial" w:eastAsia="Times New Roman"/>
      <w:sz w:val="18"/>
      <w:lang w:val="en-GB" w:eastAsia="en-US"/>
    </w:rPr>
  </w:style>
  <w:style w:type="paragraph" w:customStyle="1" w:styleId="98">
    <w:name w:val="Observation"/>
    <w:basedOn w:val="1"/>
    <w:qFormat/>
    <w:uiPriority w:val="0"/>
    <w:pPr>
      <w:tabs>
        <w:tab w:val="left" w:pos="1701"/>
      </w:tabs>
      <w:overflowPunct w:val="0"/>
      <w:autoSpaceDE w:val="0"/>
      <w:autoSpaceDN w:val="0"/>
      <w:adjustRightInd w:val="0"/>
      <w:spacing w:after="120"/>
      <w:ind w:left="1701" w:hanging="1701"/>
      <w:jc w:val="both"/>
      <w:textAlignment w:val="baseline"/>
    </w:pPr>
    <w:rPr>
      <w:b/>
      <w:bCs/>
      <w:szCs w:val="20"/>
      <w:lang w:val="en-GB" w:eastAsia="ja-JP"/>
    </w:rPr>
  </w:style>
  <w:style w:type="paragraph" w:customStyle="1" w:styleId="99">
    <w:name w:val="列表段落2"/>
    <w:basedOn w:val="1"/>
    <w:qFormat/>
    <w:uiPriority w:val="0"/>
    <w:pPr>
      <w:widowControl w:val="0"/>
      <w:ind w:firstLine="420" w:firstLineChars="200"/>
      <w:jc w:val="both"/>
    </w:pPr>
    <w:rPr>
      <w:rFonts w:ascii="Calibri" w:hAnsi="Calibri" w:eastAsia="宋体"/>
      <w:kern w:val="2"/>
      <w:sz w:val="21"/>
      <w:szCs w:val="21"/>
      <w:lang w:eastAsia="zh-CN"/>
    </w:rPr>
  </w:style>
  <w:style w:type="character" w:customStyle="1" w:styleId="100">
    <w:name w:val="B3 Car"/>
    <w:qFormat/>
    <w:locked/>
    <w:uiPriority w:val="0"/>
    <w:rPr>
      <w:lang w:eastAsia="en-US"/>
    </w:rPr>
  </w:style>
  <w:style w:type="character" w:customStyle="1" w:styleId="101">
    <w:name w:val="B1 Zchn"/>
    <w:qFormat/>
    <w:locked/>
    <w:uiPriority w:val="0"/>
    <w:rPr>
      <w:lang w:val="zh-CN" w:eastAsia="en-US"/>
    </w:rPr>
  </w:style>
  <w:style w:type="character" w:customStyle="1" w:styleId="102">
    <w:name w:val="Heading 2 Char1"/>
    <w:qFormat/>
    <w:uiPriority w:val="0"/>
    <w:rPr>
      <w:rFonts w:ascii="Arial" w:hAnsi="Arial" w:eastAsia="MS Mincho" w:cs="Arial"/>
      <w:b/>
      <w:bCs/>
      <w:iCs/>
      <w:szCs w:val="28"/>
    </w:rPr>
  </w:style>
  <w:style w:type="paragraph" w:customStyle="1" w:styleId="103">
    <w:name w:val="Revision"/>
    <w:hidden/>
    <w:semiHidden/>
    <w:qFormat/>
    <w:uiPriority w:val="99"/>
    <w:rPr>
      <w:rFonts w:ascii="Times New Roman" w:hAnsi="Times New Roman" w:eastAsia="Times New Roman" w:cs="Times New Roman"/>
      <w:szCs w:val="24"/>
      <w:lang w:val="en-US" w:eastAsia="en-US" w:bidi="ar-SA"/>
    </w:rPr>
  </w:style>
  <w:style w:type="paragraph" w:customStyle="1" w:styleId="104">
    <w:name w:val="Comments"/>
    <w:basedOn w:val="1"/>
    <w:link w:val="105"/>
    <w:qFormat/>
    <w:uiPriority w:val="0"/>
    <w:pPr>
      <w:spacing w:before="40"/>
    </w:pPr>
    <w:rPr>
      <w:rFonts w:ascii="Arial" w:hAnsi="Arial" w:eastAsia="MS Mincho"/>
      <w:i/>
      <w:sz w:val="18"/>
      <w:lang w:val="en-GB" w:eastAsia="en-GB"/>
    </w:rPr>
  </w:style>
  <w:style w:type="character" w:customStyle="1" w:styleId="105">
    <w:name w:val="Comments Char"/>
    <w:link w:val="104"/>
    <w:qFormat/>
    <w:uiPriority w:val="0"/>
    <w:rPr>
      <w:rFonts w:ascii="Arial" w:hAnsi="Arial" w:eastAsia="MS Mincho"/>
      <w:i/>
      <w:sz w:val="18"/>
      <w:szCs w:val="24"/>
      <w:lang w:val="en-GB" w:eastAsia="en-GB"/>
    </w:rPr>
  </w:style>
  <w:style w:type="paragraph" w:customStyle="1" w:styleId="106">
    <w:name w:val="SubHeading"/>
    <w:basedOn w:val="1"/>
    <w:next w:val="82"/>
    <w:link w:val="107"/>
    <w:qFormat/>
    <w:uiPriority w:val="0"/>
    <w:pPr>
      <w:spacing w:before="240" w:after="60"/>
      <w:outlineLvl w:val="8"/>
    </w:pPr>
    <w:rPr>
      <w:rFonts w:ascii="Arial" w:hAnsi="Arial" w:eastAsia="MS Mincho"/>
      <w:b/>
      <w:lang w:val="en-GB" w:eastAsia="en-GB"/>
    </w:rPr>
  </w:style>
  <w:style w:type="character" w:customStyle="1" w:styleId="107">
    <w:name w:val="SubHeading Char"/>
    <w:link w:val="106"/>
    <w:qFormat/>
    <w:uiPriority w:val="0"/>
    <w:rPr>
      <w:rFonts w:ascii="Arial" w:hAnsi="Arial" w:eastAsia="MS Mincho"/>
      <w:b/>
      <w:szCs w:val="24"/>
      <w:lang w:val="en-GB" w:eastAsia="en-GB"/>
    </w:rPr>
  </w:style>
  <w:style w:type="paragraph" w:customStyle="1" w:styleId="108">
    <w:name w:val="TOC Heading"/>
    <w:basedOn w:val="2"/>
    <w:next w:val="1"/>
    <w:unhideWhenUsed/>
    <w:qFormat/>
    <w:uiPriority w:val="39"/>
    <w:pPr>
      <w:keepLines/>
      <w:spacing w:before="240" w:after="0" w:line="259" w:lineRule="auto"/>
      <w:outlineLvl w:val="9"/>
    </w:pPr>
    <w:rPr>
      <w:rFonts w:asciiTheme="majorHAnsi" w:hAnsiTheme="majorHAnsi" w:eastAsiaTheme="majorEastAsia" w:cstheme="majorBidi"/>
      <w:b w:val="0"/>
      <w:bCs w:val="0"/>
      <w:color w:val="2F5597" w:themeColor="accent1" w:themeShade="BF"/>
      <w:kern w:val="0"/>
      <w:sz w:val="32"/>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AF4FE8-441C-41EB-ACC7-2A9E1D1843D4}">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9</Pages>
  <Words>3247</Words>
  <Characters>18508</Characters>
  <Lines>154</Lines>
  <Paragraphs>43</Paragraphs>
  <TotalTime>2</TotalTime>
  <ScaleCrop>false</ScaleCrop>
  <LinksUpToDate>false</LinksUpToDate>
  <CharactersWithSpaces>21712</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2022-01-11T10:09:00Z</dcterms:created>
  <dc:creator>Chenli-vivo</dc:creator>
  <cp:lastModifiedBy>ZhengQian</cp:lastModifiedBy>
  <cp:lastPrinted>2011-08-03T09:36:00Z</cp:lastPrinted>
  <dcterms:modified xsi:type="dcterms:W3CDTF">2022-01-11T11:14:28Z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8F4B0FFE28714C6B886981A1B467C6C6</vt:lpwstr>
  </property>
</Properties>
</file>